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851" w:leader="none"/>
        </w:tabs>
        <w:spacing w:before="60" w:after="60"/>
        <w:jc w:val="both"/>
        <w:rPr>
          <w:rFonts w:ascii="Arial" w:hAnsi="Arial" w:cs="Arial"/>
          <w:sz w:val="18"/>
          <w:szCs w:val="18"/>
          <w:lang w:val="en-US" w:bidi="it-IT"/>
        </w:rPr>
      </w:pPr>
      <w:r>
        <w:drawing>
          <wp:anchor behindDoc="0" distT="0" distB="0" distL="114300" distR="123190" simplePos="0" locked="0" layoutInCell="1" allowOverlap="1" relativeHeight="2">
            <wp:simplePos x="0" y="0"/>
            <wp:positionH relativeFrom="column">
              <wp:posOffset>4332605</wp:posOffset>
            </wp:positionH>
            <wp:positionV relativeFrom="paragraph">
              <wp:posOffset>-66040</wp:posOffset>
            </wp:positionV>
            <wp:extent cx="1819910" cy="515620"/>
            <wp:effectExtent l="0" t="0" r="0" b="0"/>
            <wp:wrapSquare wrapText="bothSides"/>
            <wp:docPr id="1" name="Immagine 4" descr="http://www.mastermimplus.eu/wp-content/uploads/2015/02/MIM-Erasmu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http://www.mastermimplus.eu/wp-content/uploads/2015/02/MIM-Erasmus-plus.jpg"/>
                    <pic:cNvPicPr>
                      <a:picLocks noChangeAspect="1" noChangeArrowheads="1"/>
                    </pic:cNvPicPr>
                  </pic:nvPicPr>
                  <pic:blipFill>
                    <a:blip r:embed="rId2"/>
                    <a:stretch>
                      <a:fillRect/>
                    </a:stretch>
                  </pic:blipFill>
                  <pic:spPr bwMode="auto">
                    <a:xfrm>
                      <a:off x="0" y="0"/>
                      <a:ext cx="1819910" cy="515620"/>
                    </a:xfrm>
                    <a:prstGeom prst="rect">
                      <a:avLst/>
                    </a:prstGeom>
                  </pic:spPr>
                </pic:pic>
              </a:graphicData>
            </a:graphic>
          </wp:anchor>
        </w:drawing>
        <w:drawing>
          <wp:anchor behindDoc="0" distT="0" distB="0" distL="0" distR="0" simplePos="0" locked="0" layoutInCell="1" allowOverlap="1" relativeHeight="3">
            <wp:simplePos x="0" y="0"/>
            <wp:positionH relativeFrom="column">
              <wp:posOffset>-3810</wp:posOffset>
            </wp:positionH>
            <wp:positionV relativeFrom="paragraph">
              <wp:posOffset>-65405</wp:posOffset>
            </wp:positionV>
            <wp:extent cx="1988185" cy="6985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988185" cy="698500"/>
                    </a:xfrm>
                    <a:prstGeom prst="rect">
                      <a:avLst/>
                    </a:prstGeom>
                  </pic:spPr>
                </pic:pic>
              </a:graphicData>
            </a:graphic>
          </wp:anchor>
        </w:drawing>
      </w:r>
      <w:r>
        <w:rPr>
          <w:rFonts w:cs="Arial" w:ascii="Arial" w:hAnsi="Arial"/>
          <w:sz w:val="18"/>
          <w:szCs w:val="18"/>
          <w:lang w:val="en-US" w:bidi="it-IT"/>
        </w:rPr>
        <w:tab/>
      </w:r>
      <w:r>
        <w:rPr>
          <w:rFonts w:cs="Arial" w:ascii="Arial" w:hAnsi="Arial"/>
          <w:sz w:val="18"/>
          <w:szCs w:val="18"/>
          <w:lang w:val="en-US" w:bidi="it-IT"/>
        </w:rPr>
        <w:tab/>
        <w:tab/>
        <w:tab/>
      </w:r>
    </w:p>
    <w:p>
      <w:pPr>
        <w:pStyle w:val="Normal"/>
        <w:rPr>
          <w:rFonts w:ascii="Arial" w:hAnsi="Arial" w:cs="Arial"/>
          <w:sz w:val="18"/>
          <w:szCs w:val="18"/>
          <w:lang w:val="en-US" w:bidi="it-IT"/>
        </w:rPr>
      </w:pPr>
      <w:r>
        <w:rPr>
          <w:rFonts w:cs="Arial" w:ascii="Arial" w:hAnsi="Arial"/>
          <w:sz w:val="18"/>
          <w:szCs w:val="18"/>
          <w:lang w:val="en-US" w:bidi="it-IT"/>
        </w:rPr>
        <w:t xml:space="preserve">   </w:t>
      </w:r>
    </w:p>
    <w:p>
      <w:pPr>
        <w:pStyle w:val="Normal"/>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2181" w:leader="none"/>
        </w:tabs>
        <w:spacing w:before="60" w:after="60"/>
        <w:jc w:val="both"/>
        <w:rPr>
          <w:rFonts w:ascii="Arial" w:hAnsi="Arial" w:cs="Arial"/>
          <w:sz w:val="18"/>
          <w:szCs w:val="18"/>
          <w:lang w:val="en-US" w:bidi="it-IT"/>
        </w:rPr>
      </w:pPr>
      <w:r>
        <w:rPr>
          <w:rFonts w:cs="Arial" w:ascii="Arial" w:hAnsi="Arial"/>
          <w:sz w:val="18"/>
          <w:szCs w:val="18"/>
          <w:lang w:val="en-US" w:bidi="it-IT"/>
        </w:rPr>
        <w:tab/>
      </w:r>
    </w:p>
    <w:p>
      <w:pPr>
        <w:pStyle w:val="Normal"/>
        <w:widowControl w:val="false"/>
        <w:tabs>
          <w:tab w:val="left" w:pos="2181" w:leader="none"/>
        </w:tabs>
        <w:spacing w:before="60" w:after="60"/>
        <w:jc w:val="center"/>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center"/>
        <w:rPr>
          <w:rFonts w:ascii="Arial" w:hAnsi="Arial" w:cs="Arial"/>
          <w:b/>
          <w:b/>
          <w:bCs/>
          <w:lang w:val="en-US" w:bidi="it-IT"/>
        </w:rPr>
      </w:pPr>
      <w:r>
        <w:rPr>
          <w:rFonts w:cs="Arial" w:ascii="Arial" w:hAnsi="Arial"/>
          <w:b/>
          <w:bCs/>
          <w:lang w:val="en-US" w:bidi="it-IT"/>
        </w:rPr>
        <w:t>ERASMUS+ HIGHER EDUCATION MOBILITY</w:t>
      </w:r>
    </w:p>
    <w:p>
      <w:pPr>
        <w:pStyle w:val="Normal"/>
        <w:widowControl w:val="false"/>
        <w:tabs>
          <w:tab w:val="left" w:pos="357" w:leader="none"/>
        </w:tabs>
        <w:spacing w:before="60" w:after="60"/>
        <w:jc w:val="both"/>
        <w:rPr>
          <w:rFonts w:ascii="Arial" w:hAnsi="Arial" w:cs="Arial"/>
          <w:b/>
          <w:b/>
          <w:bCs/>
          <w:lang w:val="en-US" w:bidi="it-IT"/>
        </w:rPr>
      </w:pPr>
      <w:r>
        <w:rPr>
          <w:rFonts w:cs="Arial" w:ascii="Arial" w:hAnsi="Arial"/>
          <w:b/>
          <w:bCs/>
          <w:lang w:val="en-US" w:bidi="it-IT"/>
        </w:rPr>
      </w:r>
    </w:p>
    <w:p>
      <w:pPr>
        <w:pStyle w:val="Normal"/>
        <w:widowControl w:val="false"/>
        <w:tabs>
          <w:tab w:val="left" w:pos="357" w:leader="none"/>
        </w:tabs>
        <w:jc w:val="center"/>
        <w:rPr/>
      </w:pPr>
      <w:r>
        <w:rPr>
          <w:rFonts w:cs="Arial" w:ascii="Arial" w:hAnsi="Arial"/>
          <w:b/>
          <w:bCs/>
          <w:lang w:val="en-US" w:bidi="it-IT"/>
        </w:rPr>
        <w:t xml:space="preserve">Call for applications </w:t>
      </w:r>
    </w:p>
    <w:p>
      <w:pPr>
        <w:pStyle w:val="Normal"/>
        <w:widowControl w:val="false"/>
        <w:tabs>
          <w:tab w:val="left" w:pos="357" w:leader="none"/>
        </w:tabs>
        <w:jc w:val="center"/>
        <w:rPr/>
      </w:pPr>
      <w:r>
        <w:rPr>
          <w:rFonts w:cs="Arial" w:ascii="Arial" w:hAnsi="Arial"/>
          <w:b/>
          <w:bCs/>
          <w:lang w:val="en-US" w:bidi="it-IT"/>
        </w:rPr>
        <w:t>Staff mobility for teaching.</w:t>
      </w:r>
    </w:p>
    <w:p>
      <w:pPr>
        <w:pStyle w:val="Normal"/>
        <w:widowControl w:val="false"/>
        <w:tabs>
          <w:tab w:val="left" w:pos="357" w:leader="none"/>
        </w:tabs>
        <w:jc w:val="center"/>
        <w:rPr>
          <w:rFonts w:ascii="Arial" w:hAnsi="Arial" w:cs="Arial"/>
          <w:b/>
          <w:b/>
          <w:bCs/>
          <w:lang w:val="en-US" w:bidi="it-IT"/>
        </w:rPr>
      </w:pPr>
      <w:r>
        <w:rPr>
          <w:rFonts w:cs="Arial" w:ascii="Arial" w:hAnsi="Arial"/>
          <w:b/>
          <w:bCs/>
          <w:lang w:val="en-US" w:bidi="it-IT"/>
        </w:rPr>
      </w:r>
    </w:p>
    <w:p>
      <w:pPr>
        <w:pStyle w:val="Normal"/>
        <w:widowControl w:val="false"/>
        <w:tabs>
          <w:tab w:val="left" w:pos="357" w:leader="none"/>
        </w:tabs>
        <w:jc w:val="center"/>
        <w:rPr>
          <w:rFonts w:ascii="Arial" w:hAnsi="Arial" w:cs="Arial"/>
          <w:b/>
          <w:b/>
          <w:bCs/>
          <w:lang w:val="en-US" w:bidi="it-IT"/>
        </w:rPr>
      </w:pPr>
      <w:r>
        <w:rPr>
          <w:rFonts w:cs="Arial" w:ascii="Arial" w:hAnsi="Arial"/>
          <w:b/>
          <w:bCs/>
          <w:lang w:val="en-US" w:bidi="it-IT"/>
        </w:rPr>
      </w:r>
    </w:p>
    <w:p>
      <w:pPr>
        <w:pStyle w:val="Normal"/>
        <w:widowControl w:val="false"/>
        <w:tabs>
          <w:tab w:val="left" w:pos="357" w:leader="none"/>
        </w:tabs>
        <w:jc w:val="center"/>
        <w:rPr>
          <w:rFonts w:ascii="Arial" w:hAnsi="Arial" w:cs="Arial"/>
          <w:b/>
          <w:b/>
          <w:bCs/>
          <w:lang w:val="en-US" w:bidi="it-IT"/>
        </w:rPr>
      </w:pPr>
      <w:r>
        <w:rPr>
          <w:rFonts w:cs="Arial" w:ascii="Arial" w:hAnsi="Arial"/>
          <w:b/>
          <w:bCs/>
          <w:lang w:val="en-US" w:bidi="it-IT"/>
        </w:rPr>
        <w:t>2017-18 academic year</w:t>
      </w:r>
    </w:p>
    <w:p>
      <w:pPr>
        <w:pStyle w:val="Normal"/>
        <w:widowControl w:val="false"/>
        <w:tabs>
          <w:tab w:val="left" w:pos="357" w:leader="none"/>
        </w:tabs>
        <w:spacing w:before="60" w:after="60"/>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851" w:leader="none"/>
        </w:tabs>
        <w:rPr>
          <w:rFonts w:ascii="Arial" w:hAnsi="Arial" w:cs="Arial"/>
          <w:b/>
          <w:b/>
          <w:bCs/>
          <w:iCs/>
          <w:u w:val="single"/>
          <w:lang w:val="en-US" w:bidi="it-IT"/>
        </w:rPr>
      </w:pPr>
      <w:r>
        <w:rPr>
          <w:rFonts w:cs="Arial" w:ascii="Arial" w:hAnsi="Arial"/>
          <w:b/>
          <w:bCs/>
          <w:iCs/>
          <w:u w:val="single"/>
          <w:lang w:val="en-US" w:bidi="it-IT"/>
        </w:rPr>
        <w:t>Art. 1 Purpose of the call and general regulations</w:t>
      </w:r>
    </w:p>
    <w:p>
      <w:pPr>
        <w:pStyle w:val="ListParagraph"/>
        <w:widowControl w:val="false"/>
        <w:numPr>
          <w:ilvl w:val="0"/>
          <w:numId w:val="4"/>
        </w:numPr>
        <w:tabs>
          <w:tab w:val="left" w:pos="357" w:leader="none"/>
        </w:tabs>
        <w:spacing w:before="240" w:after="0"/>
        <w:contextualSpacing/>
        <w:jc w:val="both"/>
        <w:rPr/>
      </w:pPr>
      <w:r>
        <w:rPr>
          <w:rFonts w:cs="Arial" w:ascii="Arial" w:hAnsi="Arial"/>
          <w:sz w:val="18"/>
          <w:szCs w:val="18"/>
          <w:lang w:val="en-US" w:bidi="it-IT"/>
        </w:rPr>
        <w:t xml:space="preserve">This call regulates the application procedure for student and </w:t>
      </w:r>
      <w:r>
        <w:rPr>
          <w:rFonts w:cs="Arial" w:ascii="Arial" w:hAnsi="Arial"/>
          <w:b/>
          <w:bCs/>
          <w:sz w:val="18"/>
          <w:szCs w:val="18"/>
          <w:u w:val="single"/>
          <w:lang w:val="en-US" w:bidi="it-IT"/>
        </w:rPr>
        <w:t>staff mobility</w:t>
      </w:r>
      <w:r>
        <w:rPr>
          <w:rFonts w:cs="Arial" w:ascii="Arial" w:hAnsi="Arial"/>
          <w:sz w:val="18"/>
          <w:szCs w:val="18"/>
          <w:lang w:val="en-US" w:bidi="it-IT"/>
        </w:rPr>
        <w:t xml:space="preserve"> in the framework of the </w:t>
      </w:r>
      <w:r>
        <w:rPr>
          <w:rFonts w:cs="Arial" w:ascii="Arial" w:hAnsi="Arial"/>
          <w:b/>
          <w:sz w:val="18"/>
          <w:szCs w:val="18"/>
          <w:lang w:val="en-US" w:bidi="it-IT"/>
        </w:rPr>
        <w:t>Erasmus+  International Credit Mobility project</w:t>
      </w:r>
      <w:r>
        <w:rPr>
          <w:rFonts w:cs="Arial" w:ascii="Arial" w:hAnsi="Arial"/>
          <w:sz w:val="18"/>
          <w:szCs w:val="18"/>
          <w:lang w:val="en-US" w:bidi="it-IT"/>
        </w:rPr>
        <w:t xml:space="preserve"> between </w:t>
      </w:r>
      <w:r>
        <w:rPr>
          <w:rFonts w:cs="Arial" w:ascii="Arial" w:hAnsi="Arial"/>
          <w:b/>
          <w:sz w:val="18"/>
          <w:szCs w:val="18"/>
          <w:lang w:val="en-US" w:bidi="it-IT"/>
        </w:rPr>
        <w:t xml:space="preserve">Ca’ Foscari University of Venice, </w:t>
      </w:r>
      <w:r>
        <w:rPr>
          <w:rFonts w:cs="Arial" w:ascii="Arial" w:hAnsi="Arial"/>
          <w:sz w:val="18"/>
          <w:szCs w:val="18"/>
          <w:lang w:val="en-US" w:bidi="it-IT"/>
        </w:rPr>
        <w:t xml:space="preserve">Italy and </w:t>
      </w:r>
      <w:r>
        <w:rPr>
          <w:rFonts w:cs="Arial" w:ascii="Arial" w:hAnsi="Arial"/>
          <w:b/>
          <w:bCs/>
          <w:sz w:val="18"/>
          <w:szCs w:val="18"/>
          <w:lang w:val="en-US" w:bidi="it-IT"/>
        </w:rPr>
        <w:t>Faculty of Philosophy and Arts, Buenos Aires University (FFyL-UBA)</w:t>
      </w:r>
      <w:r>
        <w:rPr>
          <w:rFonts w:cs="Arial" w:ascii="Arial" w:hAnsi="Arial"/>
          <w:color w:val="FF0000"/>
          <w:sz w:val="18"/>
          <w:szCs w:val="18"/>
          <w:lang w:val="en-US" w:bidi="it-IT"/>
        </w:rPr>
        <w:t>.</w:t>
      </w:r>
    </w:p>
    <w:p>
      <w:pPr>
        <w:pStyle w:val="ListParagraph"/>
        <w:widowControl w:val="false"/>
        <w:tabs>
          <w:tab w:val="left" w:pos="357" w:leader="none"/>
        </w:tabs>
        <w:spacing w:before="240" w:after="0"/>
        <w:ind w:left="360" w:hanging="0"/>
        <w:contextualSpacing/>
        <w:jc w:val="both"/>
        <w:rPr>
          <w:rFonts w:ascii="Arial" w:hAnsi="Arial" w:cs="Arial"/>
          <w:sz w:val="18"/>
          <w:szCs w:val="18"/>
          <w:lang w:val="en-US" w:bidi="it-IT"/>
        </w:rPr>
      </w:pPr>
      <w:r>
        <w:rPr>
          <w:rFonts w:cs="Arial" w:ascii="Arial" w:hAnsi="Arial"/>
          <w:sz w:val="18"/>
          <w:szCs w:val="18"/>
          <w:lang w:val="en-US" w:bidi="it-IT"/>
        </w:rPr>
        <w:t>Erasmus+ is the EU programme for education, training, youth and sport covering the period 2014-2020. It offers a wide range of opportunities for students and staff to study and train abroad and obtain credits which are then recognised by the sending institution.</w:t>
      </w:r>
    </w:p>
    <w:p>
      <w:pPr>
        <w:pStyle w:val="ListParagraph"/>
        <w:widowControl w:val="false"/>
        <w:numPr>
          <w:ilvl w:val="0"/>
          <w:numId w:val="4"/>
        </w:numPr>
        <w:tabs>
          <w:tab w:val="left" w:pos="357" w:leader="none"/>
        </w:tabs>
        <w:spacing w:before="240" w:after="0"/>
        <w:contextualSpacing/>
        <w:jc w:val="both"/>
        <w:rPr/>
      </w:pPr>
      <w:r>
        <w:rPr>
          <w:rFonts w:cs="Arial" w:ascii="Arial" w:hAnsi="Arial"/>
          <w:sz w:val="18"/>
          <w:szCs w:val="18"/>
          <w:lang w:val="en-US" w:bidi="it-IT"/>
        </w:rPr>
        <w:t>The present Erasmus+ International Credit Mobility project between Ca’ Foscari University of Venice and Faculty of Philosophy and Arts, Buenos Aires University (FFyL-UBA)</w:t>
      </w:r>
      <w:r>
        <w:rPr>
          <w:rFonts w:cs="Arial" w:ascii="Arial" w:hAnsi="Arial"/>
          <w:color w:val="FF0000"/>
          <w:sz w:val="18"/>
          <w:szCs w:val="18"/>
          <w:lang w:val="en-US" w:bidi="it-IT"/>
        </w:rPr>
        <w:t xml:space="preserve"> </w:t>
      </w:r>
      <w:r>
        <w:rPr>
          <w:rFonts w:cs="Arial" w:ascii="Arial" w:hAnsi="Arial"/>
          <w:sz w:val="18"/>
          <w:szCs w:val="18"/>
          <w:lang w:val="en-US" w:bidi="it-IT"/>
        </w:rPr>
        <w:t xml:space="preserve">lasts 26 months, from June 1, 2016 to July 31, 2018. </w:t>
      </w:r>
    </w:p>
    <w:p>
      <w:pPr>
        <w:pStyle w:val="ListParagraph"/>
        <w:widowControl w:val="false"/>
        <w:tabs>
          <w:tab w:val="left" w:pos="357" w:leader="none"/>
        </w:tabs>
        <w:spacing w:before="240" w:after="0"/>
        <w:ind w:left="360" w:hanging="0"/>
        <w:contextualSpacing/>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851" w:leader="none"/>
        </w:tabs>
        <w:spacing w:before="0" w:after="240"/>
        <w:rPr>
          <w:rFonts w:ascii="Arial" w:hAnsi="Arial" w:cs="Arial"/>
          <w:sz w:val="22"/>
          <w:szCs w:val="22"/>
          <w:u w:val="single"/>
          <w:lang w:val="en-US" w:bidi="it-IT"/>
        </w:rPr>
      </w:pPr>
      <w:r>
        <w:rPr>
          <w:rFonts w:cs="Arial" w:ascii="Arial" w:hAnsi="Arial"/>
          <w:b/>
          <w:bCs/>
          <w:iCs/>
          <w:u w:val="single"/>
          <w:lang w:val="en-US" w:bidi="it-IT"/>
        </w:rPr>
        <w:t>Art. 2 Mobility types and available places</w:t>
      </w:r>
      <w:r>
        <w:rPr>
          <w:rFonts w:cs="Arial" w:ascii="Arial" w:hAnsi="Arial"/>
          <w:color w:val="FF0000"/>
          <w:sz w:val="22"/>
          <w:szCs w:val="22"/>
          <w:u w:val="single"/>
          <w:lang w:val="en-US" w:bidi="it-IT"/>
        </w:rPr>
        <w:t xml:space="preserve"> </w:t>
      </w:r>
    </w:p>
    <w:p>
      <w:pPr>
        <w:pStyle w:val="Normal"/>
        <w:widowControl w:val="false"/>
        <w:tabs>
          <w:tab w:val="left" w:pos="357" w:leader="none"/>
        </w:tabs>
        <w:jc w:val="both"/>
        <w:rPr/>
      </w:pPr>
      <w:r>
        <w:rPr>
          <w:rFonts w:cs="Arial" w:ascii="Arial" w:hAnsi="Arial"/>
          <w:sz w:val="18"/>
          <w:szCs w:val="18"/>
          <w:lang w:val="en-US" w:bidi="it-IT"/>
        </w:rPr>
        <w:t>Under this call for applications the following places are available for prospective candidates from the FFyL-UBA</w:t>
      </w:r>
      <w:r>
        <w:rPr>
          <w:rFonts w:cs="Arial" w:ascii="Arial" w:hAnsi="Arial"/>
          <w:b w:val="false"/>
          <w:bCs w:val="false"/>
          <w:sz w:val="18"/>
          <w:szCs w:val="18"/>
          <w:lang w:val="en-US" w:bidi="it-IT"/>
        </w:rPr>
        <w:t>:</w:t>
      </w:r>
    </w:p>
    <w:p>
      <w:pPr>
        <w:pStyle w:val="ListParagraph"/>
        <w:widowControl w:val="false"/>
        <w:numPr>
          <w:ilvl w:val="0"/>
          <w:numId w:val="3"/>
        </w:numPr>
        <w:tabs>
          <w:tab w:val="left" w:pos="357" w:leader="none"/>
        </w:tabs>
        <w:jc w:val="both"/>
        <w:rPr/>
      </w:pPr>
      <w:r>
        <w:rPr>
          <w:rFonts w:cs="Arial" w:ascii="Arial" w:hAnsi="Arial"/>
          <w:i w:val="false"/>
          <w:iCs w:val="false"/>
          <w:color w:val="000000"/>
          <w:sz w:val="18"/>
          <w:szCs w:val="18"/>
          <w:lang w:val="en-US" w:bidi="it-IT"/>
        </w:rPr>
        <w:t xml:space="preserve">STAFF FOR TEACHING (academic staff, including post doctorate. </w:t>
      </w:r>
      <w:r>
        <w:rPr>
          <w:rFonts w:cs="Arial" w:ascii="Arial" w:hAnsi="Arial"/>
          <w:sz w:val="18"/>
          <w:szCs w:val="18"/>
          <w:lang w:val="en-US" w:bidi="it-IT"/>
        </w:rPr>
        <w:t>(</w:t>
      </w:r>
      <w:r>
        <w:rPr>
          <w:rFonts w:cs="Arial" w:ascii="Arial" w:hAnsi="Arial"/>
          <w:b/>
          <w:sz w:val="18"/>
          <w:szCs w:val="18"/>
          <w:lang w:val="en-US" w:bidi="it-IT"/>
        </w:rPr>
        <w:t xml:space="preserve">WARNING: </w:t>
      </w:r>
      <w:r>
        <w:rPr>
          <w:rFonts w:cs="Arial" w:ascii="Arial" w:hAnsi="Arial"/>
          <w:b/>
          <w:sz w:val="18"/>
          <w:szCs w:val="18"/>
          <w:u w:val="single"/>
          <w:lang w:val="en-US" w:bidi="it-IT"/>
        </w:rPr>
        <w:t>minimum 8 teaching hours per week,</w:t>
      </w:r>
      <w:r>
        <w:rPr>
          <w:rFonts w:cs="Arial" w:ascii="Arial" w:hAnsi="Arial"/>
          <w:sz w:val="18"/>
          <w:szCs w:val="18"/>
          <w:u w:val="single"/>
          <w:lang w:val="en-US" w:bidi="it-IT"/>
        </w:rPr>
        <w:t xml:space="preserve"> which may include lectures, seminars, workshops, tutoring</w:t>
      </w:r>
      <w:r>
        <w:rPr>
          <w:rFonts w:cs="Arial" w:ascii="Arial" w:hAnsi="Arial"/>
          <w:sz w:val="18"/>
          <w:szCs w:val="18"/>
          <w:lang w:val="en-US" w:bidi="it-IT"/>
        </w:rPr>
        <w:t>):</w:t>
      </w:r>
      <w:r>
        <w:rPr>
          <w:rFonts w:cs="Arial" w:ascii="Arial" w:hAnsi="Arial"/>
          <w:i/>
          <w:sz w:val="18"/>
          <w:szCs w:val="18"/>
          <w:lang w:val="en-US" w:bidi="it-IT"/>
        </w:rPr>
        <w:t xml:space="preserve"> </w:t>
      </w:r>
      <w:r>
        <w:rPr>
          <w:rFonts w:cs="Arial" w:ascii="Arial" w:hAnsi="Arial"/>
          <w:i w:val="false"/>
          <w:iCs w:val="false"/>
          <w:color w:val="000000"/>
          <w:sz w:val="18"/>
          <w:szCs w:val="18"/>
          <w:lang w:val="en-US" w:bidi="it-IT"/>
        </w:rPr>
        <w:t>2 places.</w:t>
      </w:r>
    </w:p>
    <w:p>
      <w:pPr>
        <w:pStyle w:val="ListParagraph"/>
        <w:widowControl w:val="false"/>
        <w:numPr>
          <w:ilvl w:val="0"/>
          <w:numId w:val="0"/>
        </w:numPr>
        <w:tabs>
          <w:tab w:val="left" w:pos="357" w:leader="none"/>
        </w:tabs>
        <w:ind w:left="1077" w:hanging="0"/>
        <w:jc w:val="both"/>
        <w:rPr>
          <w:rFonts w:ascii="Arial" w:hAnsi="Arial" w:cs="Arial"/>
          <w:i/>
          <w:i/>
          <w:color w:val="FF0000"/>
          <w:sz w:val="18"/>
          <w:szCs w:val="18"/>
          <w:lang w:val="en-US" w:bidi="it-IT"/>
        </w:rPr>
      </w:pPr>
      <w:r>
        <w:rPr>
          <w:rFonts w:cs="Arial" w:ascii="Arial" w:hAnsi="Arial"/>
          <w:i/>
          <w:color w:val="FF0000"/>
          <w:sz w:val="18"/>
          <w:szCs w:val="18"/>
          <w:lang w:val="en-US" w:bidi="it-IT"/>
        </w:rPr>
      </w:r>
    </w:p>
    <w:p>
      <w:pPr>
        <w:pStyle w:val="Normal"/>
        <w:widowControl w:val="false"/>
        <w:tabs>
          <w:tab w:val="left" w:pos="357" w:leader="none"/>
        </w:tabs>
        <w:spacing w:before="240" w:after="0"/>
        <w:jc w:val="both"/>
        <w:rPr/>
      </w:pPr>
      <w:r>
        <w:rPr>
          <w:rFonts w:cs="Arial" w:ascii="Arial" w:hAnsi="Arial"/>
          <w:sz w:val="18"/>
          <w:szCs w:val="18"/>
          <w:lang w:val="en-US" w:bidi="it-IT"/>
        </w:rPr>
        <w:t xml:space="preserve">The present call for applications provides mobility grants for </w:t>
      </w:r>
      <w:r>
        <w:rPr>
          <w:rFonts w:cs="Arial" w:ascii="Arial" w:hAnsi="Arial"/>
          <w:i w:val="false"/>
          <w:iCs w:val="false"/>
          <w:color w:val="000000"/>
          <w:sz w:val="18"/>
          <w:szCs w:val="18"/>
          <w:lang w:val="en-US" w:bidi="it-IT"/>
        </w:rPr>
        <w:t xml:space="preserve">2017-2018 academic years. </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851" w:leader="none"/>
        </w:tabs>
        <w:spacing w:before="0" w:after="240"/>
        <w:rPr>
          <w:rFonts w:ascii="Arial" w:hAnsi="Arial" w:cs="Arial"/>
          <w:b/>
          <w:b/>
          <w:bCs/>
          <w:iCs/>
          <w:u w:val="single"/>
          <w:lang w:val="en-US" w:bidi="it-IT"/>
        </w:rPr>
      </w:pPr>
      <w:r>
        <w:rPr>
          <w:rFonts w:cs="Arial" w:ascii="Arial" w:hAnsi="Arial"/>
          <w:b/>
          <w:bCs/>
          <w:iCs/>
          <w:u w:val="single"/>
          <w:lang w:val="en-US" w:bidi="it-IT"/>
        </w:rPr>
        <w:t xml:space="preserve">Art. 3 Admission requirements </w:t>
      </w:r>
    </w:p>
    <w:p>
      <w:pPr>
        <w:pStyle w:val="Normal"/>
        <w:widowControl w:val="false"/>
        <w:tabs>
          <w:tab w:val="left" w:pos="357" w:leader="none"/>
        </w:tabs>
        <w:jc w:val="both"/>
        <w:rPr/>
      </w:pPr>
      <w:r>
        <w:rPr>
          <w:rFonts w:cs="Arial" w:ascii="Arial" w:hAnsi="Arial"/>
          <w:sz w:val="18"/>
          <w:szCs w:val="18"/>
          <w:lang w:val="en-US" w:bidi="it-IT"/>
        </w:rPr>
        <w:t xml:space="preserve">3.1 In order to apply prospective candidates must be </w:t>
      </w:r>
      <w:r>
        <w:rPr>
          <w:rFonts w:cs="Arial" w:ascii="Arial" w:hAnsi="Arial"/>
          <w:b/>
          <w:bCs/>
          <w:i w:val="false"/>
          <w:iCs w:val="false"/>
          <w:color w:val="000000"/>
          <w:sz w:val="18"/>
          <w:szCs w:val="18"/>
          <w:lang w:val="en-US" w:bidi="it-IT"/>
        </w:rPr>
        <w:t>enrolled / employed</w:t>
      </w:r>
      <w:r>
        <w:rPr>
          <w:rFonts w:cs="Arial" w:ascii="Arial" w:hAnsi="Arial"/>
          <w:color w:val="FF0000"/>
          <w:sz w:val="18"/>
          <w:szCs w:val="18"/>
          <w:lang w:val="en-US" w:bidi="it-IT"/>
        </w:rPr>
        <w:t xml:space="preserve"> </w:t>
      </w:r>
      <w:r>
        <w:rPr>
          <w:rFonts w:cs="Arial" w:ascii="Arial" w:hAnsi="Arial"/>
          <w:sz w:val="18"/>
          <w:szCs w:val="18"/>
          <w:lang w:val="en-US" w:bidi="it-IT"/>
        </w:rPr>
        <w:t xml:space="preserve">at </w:t>
      </w:r>
      <w:r>
        <w:rPr>
          <w:rFonts w:cs="Arial" w:ascii="Arial" w:hAnsi="Arial"/>
          <w:b/>
          <w:bCs/>
          <w:i w:val="false"/>
          <w:iCs w:val="false"/>
          <w:color w:val="000000"/>
          <w:sz w:val="18"/>
          <w:szCs w:val="18"/>
          <w:lang w:val="en-US" w:bidi="it-IT"/>
        </w:rPr>
        <w:t>FFyL-UBA</w:t>
      </w:r>
      <w:r>
        <w:rPr>
          <w:rFonts w:cs="Arial" w:ascii="Arial" w:hAnsi="Arial"/>
          <w:color w:val="FF0000"/>
          <w:sz w:val="18"/>
          <w:szCs w:val="18"/>
          <w:lang w:val="en-US" w:bidi="it-IT"/>
        </w:rPr>
        <w:t xml:space="preserve"> </w:t>
      </w:r>
      <w:r>
        <w:rPr>
          <w:rFonts w:cs="Arial" w:ascii="Arial" w:hAnsi="Arial"/>
          <w:sz w:val="18"/>
          <w:szCs w:val="18"/>
          <w:lang w:val="en-US" w:bidi="it-IT"/>
        </w:rPr>
        <w:t>at the moment of application and for the whole duration of the mobility.</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In addition</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ListParagraph"/>
        <w:widowControl w:val="false"/>
        <w:numPr>
          <w:ilvl w:val="0"/>
          <w:numId w:val="7"/>
        </w:numPr>
        <w:tabs>
          <w:tab w:val="left" w:pos="357" w:leader="none"/>
        </w:tabs>
        <w:ind w:left="717" w:hanging="360"/>
        <w:jc w:val="both"/>
        <w:rPr>
          <w:rFonts w:ascii="Arial" w:hAnsi="Arial" w:cs="Arial"/>
          <w:sz w:val="18"/>
          <w:szCs w:val="18"/>
          <w:lang w:val="en-US" w:bidi="it-IT"/>
        </w:rPr>
      </w:pPr>
      <w:r>
        <w:rPr>
          <w:rFonts w:cs="Arial" w:ascii="Arial" w:hAnsi="Arial"/>
          <w:sz w:val="18"/>
          <w:szCs w:val="18"/>
          <w:lang w:val="en-US" w:bidi="it-IT"/>
        </w:rPr>
        <w:t xml:space="preserve">Undergraduate students must carry out their mobility from the second year of their studies. </w:t>
      </w:r>
    </w:p>
    <w:p>
      <w:pPr>
        <w:pStyle w:val="ListParagraph"/>
        <w:widowControl w:val="false"/>
        <w:tabs>
          <w:tab w:val="left" w:pos="357" w:leader="none"/>
        </w:tabs>
        <w:ind w:left="717" w:hanging="0"/>
        <w:jc w:val="both"/>
        <w:rPr>
          <w:rFonts w:ascii="Arial" w:hAnsi="Arial" w:cs="Arial"/>
          <w:sz w:val="18"/>
          <w:szCs w:val="18"/>
          <w:lang w:val="en-US" w:bidi="it-IT"/>
        </w:rPr>
      </w:pPr>
      <w:r>
        <w:rPr>
          <w:rFonts w:cs="Arial" w:ascii="Arial" w:hAnsi="Arial"/>
          <w:sz w:val="18"/>
          <w:szCs w:val="18"/>
          <w:lang w:val="en-US" w:bidi="it-IT"/>
        </w:rPr>
        <w:t>Undergraduate students wishing to apply for Master courses must undertake to enrol in a Master programme before the beginning of the mobility;</w:t>
      </w:r>
    </w:p>
    <w:p>
      <w:pPr>
        <w:pStyle w:val="ListParagraph"/>
        <w:widowControl w:val="false"/>
        <w:tabs>
          <w:tab w:val="left" w:pos="357" w:leader="none"/>
        </w:tabs>
        <w:ind w:left="1074" w:hanging="0"/>
        <w:jc w:val="both"/>
        <w:rPr>
          <w:rFonts w:ascii="Arial" w:hAnsi="Arial" w:cs="Arial"/>
          <w:sz w:val="18"/>
          <w:szCs w:val="18"/>
          <w:lang w:val="en-US" w:bidi="it-IT"/>
        </w:rPr>
      </w:pPr>
      <w:r>
        <w:rPr>
          <w:rFonts w:cs="Arial" w:ascii="Arial" w:hAnsi="Arial"/>
          <w:sz w:val="18"/>
          <w:szCs w:val="18"/>
          <w:lang w:val="en-US" w:bidi="it-IT"/>
        </w:rPr>
      </w:r>
    </w:p>
    <w:p>
      <w:pPr>
        <w:pStyle w:val="ListParagraph"/>
        <w:widowControl w:val="false"/>
        <w:numPr>
          <w:ilvl w:val="0"/>
          <w:numId w:val="8"/>
        </w:numPr>
        <w:tabs>
          <w:tab w:val="left" w:pos="357" w:leader="none"/>
        </w:tabs>
        <w:jc w:val="both"/>
        <w:rPr>
          <w:rFonts w:ascii="Arial" w:hAnsi="Arial" w:cs="Arial"/>
          <w:i/>
          <w:i/>
          <w:sz w:val="18"/>
          <w:szCs w:val="18"/>
          <w:lang w:val="en-US" w:bidi="it-IT"/>
        </w:rPr>
      </w:pPr>
      <w:r>
        <w:rPr>
          <w:rFonts w:cs="Arial" w:ascii="Arial" w:hAnsi="Arial"/>
          <w:i/>
          <w:sz w:val="18"/>
          <w:szCs w:val="18"/>
          <w:lang w:val="en-US" w:bidi="it-IT"/>
        </w:rPr>
        <w:t>Master students wishing to apply for PhD courses must undertake to enrol in a PhD programme before the beginning of the mobility;</w:t>
      </w:r>
    </w:p>
    <w:p>
      <w:pPr>
        <w:pStyle w:val="ListParagraph"/>
        <w:widowControl w:val="false"/>
        <w:tabs>
          <w:tab w:val="left" w:pos="357" w:leader="none"/>
        </w:tabs>
        <w:ind w:left="717" w:hanging="0"/>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851" w:leader="none"/>
        </w:tabs>
        <w:spacing w:before="0" w:after="240"/>
        <w:rPr>
          <w:rFonts w:ascii="Arial" w:hAnsi="Arial" w:cs="Arial"/>
          <w:bCs/>
          <w:iCs/>
          <w:sz w:val="18"/>
          <w:szCs w:val="18"/>
          <w:u w:val="single"/>
          <w:lang w:val="en-US" w:bidi="it-IT"/>
        </w:rPr>
      </w:pPr>
      <w:r>
        <w:rPr>
          <w:rFonts w:cs="Arial" w:ascii="Arial" w:hAnsi="Arial"/>
          <w:bCs/>
          <w:iCs/>
          <w:sz w:val="18"/>
          <w:szCs w:val="18"/>
          <w:lang w:val="en-US" w:bidi="it-IT"/>
        </w:rPr>
        <w:t>3.2 Language proficiency</w:t>
      </w:r>
      <w:r>
        <w:rPr>
          <w:rFonts w:cs="Arial" w:ascii="Arial" w:hAnsi="Arial"/>
          <w:bCs/>
          <w:iCs/>
          <w:sz w:val="18"/>
          <w:szCs w:val="18"/>
          <w:u w:val="single"/>
          <w:lang w:val="en-US" w:bidi="it-IT"/>
        </w:rPr>
        <w:t xml:space="preserve"> </w:t>
      </w:r>
    </w:p>
    <w:p>
      <w:pPr>
        <w:pStyle w:val="Normal"/>
        <w:widowControl w:val="false"/>
        <w:tabs>
          <w:tab w:val="left" w:pos="357" w:leader="none"/>
        </w:tabs>
        <w:jc w:val="both"/>
        <w:rPr/>
      </w:pPr>
      <w:r>
        <w:rPr>
          <w:rFonts w:cs="Arial" w:ascii="Arial" w:hAnsi="Arial"/>
          <w:sz w:val="18"/>
          <w:szCs w:val="18"/>
          <w:lang w:val="en-US" w:bidi="it-IT"/>
        </w:rPr>
        <w:t xml:space="preserve">Applicants are required to be proficient </w:t>
      </w:r>
      <w:r>
        <w:rPr>
          <w:rFonts w:cs="Arial" w:ascii="Arial" w:hAnsi="Arial"/>
          <w:i w:val="false"/>
          <w:iCs w:val="false"/>
          <w:color w:val="000000"/>
          <w:sz w:val="18"/>
          <w:szCs w:val="18"/>
          <w:lang w:val="en-US" w:bidi="it-IT"/>
        </w:rPr>
        <w:t>in English at level B2 and/or Italian at level B2. A</w:t>
      </w:r>
      <w:r>
        <w:rPr>
          <w:rFonts w:cs="Arial" w:ascii="Arial" w:hAnsi="Arial"/>
          <w:sz w:val="18"/>
          <w:szCs w:val="18"/>
          <w:lang w:val="en-US" w:bidi="it-IT"/>
        </w:rPr>
        <w:t>ny language certificate will be accepted, but applicants must provide certifications or self-certifications of the required level.</w:t>
      </w:r>
    </w:p>
    <w:p>
      <w:pPr>
        <w:pStyle w:val="Normal"/>
        <w:widowControl w:val="false"/>
        <w:tabs>
          <w:tab w:val="left" w:pos="851" w:leader="none"/>
        </w:tabs>
        <w:spacing w:before="0" w:after="240"/>
        <w:rPr>
          <w:rFonts w:ascii="Arial" w:hAnsi="Arial" w:cs="Arial"/>
          <w:bCs/>
          <w:iCs/>
          <w:sz w:val="18"/>
          <w:szCs w:val="18"/>
          <w:lang w:val="en-US" w:bidi="it-IT"/>
        </w:rPr>
      </w:pPr>
      <w:r>
        <w:rPr>
          <w:rFonts w:cs="Arial" w:ascii="Arial" w:hAnsi="Arial"/>
          <w:bCs/>
          <w:iCs/>
          <w:sz w:val="18"/>
          <w:szCs w:val="18"/>
          <w:lang w:val="en-US" w:bidi="it-IT"/>
        </w:rPr>
      </w:r>
    </w:p>
    <w:p>
      <w:pPr>
        <w:pStyle w:val="Normal"/>
        <w:widowControl w:val="false"/>
        <w:tabs>
          <w:tab w:val="left" w:pos="851" w:leader="none"/>
        </w:tabs>
        <w:spacing w:before="0" w:after="240"/>
        <w:rPr>
          <w:rFonts w:ascii="Arial" w:hAnsi="Arial" w:cs="Arial"/>
          <w:bCs/>
          <w:iCs/>
          <w:sz w:val="18"/>
          <w:szCs w:val="18"/>
          <w:lang w:val="en-US" w:bidi="it-IT"/>
        </w:rPr>
      </w:pPr>
      <w:r>
        <w:rPr>
          <w:rFonts w:cs="Arial" w:ascii="Arial" w:hAnsi="Arial"/>
          <w:bCs/>
          <w:iCs/>
          <w:sz w:val="18"/>
          <w:szCs w:val="18"/>
          <w:lang w:val="en-US" w:bidi="it-IT"/>
        </w:rPr>
        <w:t>3.3 In/compatibility</w:t>
      </w:r>
    </w:p>
    <w:p>
      <w:pPr>
        <w:pStyle w:val="ListParagraph"/>
        <w:widowControl w:val="false"/>
        <w:numPr>
          <w:ilvl w:val="0"/>
          <w:numId w:val="8"/>
        </w:numPr>
        <w:tabs>
          <w:tab w:val="left" w:pos="357" w:leader="none"/>
        </w:tabs>
        <w:jc w:val="both"/>
        <w:rPr>
          <w:rFonts w:ascii="Arial" w:hAnsi="Arial" w:cs="Arial"/>
          <w:sz w:val="18"/>
          <w:szCs w:val="18"/>
          <w:lang w:val="en-US" w:bidi="it-IT"/>
        </w:rPr>
      </w:pPr>
      <w:r>
        <w:rPr>
          <w:rFonts w:cs="Arial" w:ascii="Arial" w:hAnsi="Arial"/>
          <w:sz w:val="18"/>
          <w:szCs w:val="18"/>
          <w:lang w:val="en-US" w:bidi="it-IT"/>
        </w:rPr>
        <w:t>The same student may participate in Erasmus+ mobility periods totaling up to 12 months maximum per each cycle of study (Bachelor or equivalent, Master or equivalent, Doctoral level), independently from the number and type of mobility activities. Previous Erasmus+ and Erasmus Mundus experiences must be taken into account for calculation purposes</w:t>
      </w:r>
    </w:p>
    <w:p>
      <w:pPr>
        <w:pStyle w:val="ListParagraph"/>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ListParagraph"/>
        <w:widowControl w:val="false"/>
        <w:numPr>
          <w:ilvl w:val="0"/>
          <w:numId w:val="8"/>
        </w:numPr>
        <w:tabs>
          <w:tab w:val="left" w:pos="851" w:leader="none"/>
        </w:tabs>
        <w:spacing w:before="0" w:after="240"/>
        <w:contextualSpacing/>
        <w:rPr/>
      </w:pPr>
      <w:r>
        <w:rPr>
          <w:rFonts w:cs="Arial" w:ascii="Arial" w:hAnsi="Arial"/>
          <w:bCs/>
          <w:iCs/>
          <w:sz w:val="18"/>
          <w:szCs w:val="18"/>
          <w:lang w:val="en-US" w:bidi="it-IT"/>
        </w:rPr>
        <w:t xml:space="preserve">Selected beneficiaries will not be allowed to benefit from any other grant provided by the European Commission </w:t>
      </w:r>
      <w:r>
        <w:rPr>
          <w:rFonts w:cs="Arial" w:ascii="Arial" w:hAnsi="Arial"/>
          <w:bCs/>
          <w:i w:val="false"/>
          <w:iCs w:val="false"/>
          <w:color w:val="000000"/>
          <w:sz w:val="18"/>
          <w:szCs w:val="18"/>
          <w:lang w:val="en-US" w:bidi="it-IT"/>
        </w:rPr>
        <w:t xml:space="preserve">for teaching </w:t>
      </w:r>
      <w:r>
        <w:rPr>
          <w:rFonts w:cs="Arial" w:ascii="Arial" w:hAnsi="Arial"/>
          <w:bCs/>
          <w:i/>
          <w:iCs/>
          <w:color w:val="FF0000"/>
          <w:sz w:val="18"/>
          <w:szCs w:val="18"/>
          <w:lang w:val="en-US" w:bidi="it-IT"/>
        </w:rPr>
        <w:t xml:space="preserve"> </w:t>
      </w:r>
      <w:r>
        <w:rPr>
          <w:rFonts w:cs="Arial" w:ascii="Arial" w:hAnsi="Arial"/>
          <w:bCs/>
          <w:iCs/>
          <w:sz w:val="18"/>
          <w:szCs w:val="18"/>
          <w:lang w:val="en-US" w:bidi="it-IT"/>
        </w:rPr>
        <w:t>for the same period.</w:t>
      </w:r>
    </w:p>
    <w:p>
      <w:pPr>
        <w:pStyle w:val="ListParagraph"/>
        <w:widowControl w:val="false"/>
        <w:tabs>
          <w:tab w:val="left" w:pos="851" w:leader="none"/>
        </w:tabs>
        <w:spacing w:before="0" w:after="240"/>
        <w:contextualSpacing/>
        <w:rPr>
          <w:rFonts w:ascii="Arial" w:hAnsi="Arial" w:cs="Arial"/>
          <w:bCs/>
          <w:iCs/>
          <w:sz w:val="18"/>
          <w:szCs w:val="18"/>
          <w:lang w:val="en-US" w:bidi="it-IT"/>
        </w:rPr>
      </w:pPr>
      <w:r>
        <w:rPr>
          <w:rFonts w:cs="Arial" w:ascii="Arial" w:hAnsi="Arial"/>
          <w:bCs/>
          <w:iCs/>
          <w:sz w:val="18"/>
          <w:szCs w:val="18"/>
          <w:lang w:val="en-US" w:bidi="it-IT"/>
        </w:rPr>
      </w:r>
    </w:p>
    <w:p>
      <w:pPr>
        <w:pStyle w:val="ListParagraph"/>
        <w:widowControl w:val="false"/>
        <w:numPr>
          <w:ilvl w:val="0"/>
          <w:numId w:val="8"/>
        </w:numPr>
        <w:tabs>
          <w:tab w:val="left" w:pos="851" w:leader="none"/>
        </w:tabs>
        <w:spacing w:before="0" w:after="240"/>
        <w:contextualSpacing/>
        <w:rPr>
          <w:rFonts w:ascii="Arial" w:hAnsi="Arial" w:cs="Arial"/>
          <w:bCs/>
          <w:iCs/>
          <w:sz w:val="18"/>
          <w:szCs w:val="18"/>
          <w:lang w:val="en-US" w:bidi="it-IT"/>
        </w:rPr>
      </w:pPr>
      <w:r>
        <w:rPr>
          <w:rFonts w:cs="Arial" w:ascii="Arial" w:hAnsi="Arial"/>
          <w:bCs/>
          <w:iCs/>
          <w:sz w:val="18"/>
          <w:szCs w:val="18"/>
          <w:lang w:val="en-US" w:bidi="it-IT"/>
        </w:rPr>
        <w:t>Beneficiaries must carry out their mobility activities in a country different from the country of residence (for staff ) and from the country where they have their accommodation during their studies (for students);</w:t>
      </w:r>
    </w:p>
    <w:p>
      <w:pPr>
        <w:pStyle w:val="ListParagraph"/>
        <w:rPr>
          <w:rFonts w:ascii="Arial" w:hAnsi="Arial" w:cs="Arial"/>
          <w:bCs/>
          <w:iCs/>
          <w:sz w:val="18"/>
          <w:szCs w:val="18"/>
          <w:lang w:val="en-US" w:bidi="it-IT"/>
        </w:rPr>
      </w:pPr>
      <w:r>
        <w:rPr>
          <w:rFonts w:cs="Arial" w:ascii="Arial" w:hAnsi="Arial"/>
          <w:bCs/>
          <w:iCs/>
          <w:sz w:val="18"/>
          <w:szCs w:val="18"/>
          <w:lang w:val="en-US" w:bidi="it-IT"/>
        </w:rPr>
      </w:r>
    </w:p>
    <w:p>
      <w:pPr>
        <w:pStyle w:val="ListParagraph"/>
        <w:widowControl w:val="false"/>
        <w:numPr>
          <w:ilvl w:val="0"/>
          <w:numId w:val="8"/>
        </w:numPr>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Candidates with a double nationality must specify the nationality under which they submit their scholarship application.</w:t>
      </w:r>
      <w:r>
        <w:rPr>
          <w:rFonts w:cs="Arial" w:ascii="Arial" w:hAnsi="Arial"/>
          <w:color w:val="FF0000"/>
          <w:sz w:val="18"/>
          <w:szCs w:val="18"/>
          <w:u w:val="none" w:color="FF0000"/>
          <w:lang w:val="en-US" w:bidi="it-IT"/>
        </w:rPr>
        <w:t xml:space="preserve"> </w:t>
      </w:r>
    </w:p>
    <w:p>
      <w:pPr>
        <w:pStyle w:val="ListParagraph"/>
        <w:widowControl w:val="false"/>
        <w:tabs>
          <w:tab w:val="left" w:pos="851" w:leader="none"/>
        </w:tabs>
        <w:spacing w:before="0" w:after="240"/>
        <w:contextualSpacing/>
        <w:rPr>
          <w:rFonts w:ascii="Arial" w:hAnsi="Arial" w:cs="Arial"/>
          <w:bCs/>
          <w:iCs/>
          <w:sz w:val="18"/>
          <w:szCs w:val="18"/>
          <w:lang w:val="en-US" w:bidi="it-IT"/>
        </w:rPr>
      </w:pPr>
      <w:r>
        <w:rPr>
          <w:rFonts w:cs="Arial" w:ascii="Arial" w:hAnsi="Arial"/>
          <w:bCs/>
          <w:iCs/>
          <w:sz w:val="18"/>
          <w:szCs w:val="18"/>
          <w:lang w:val="en-US" w:bidi="it-IT"/>
        </w:rPr>
      </w:r>
    </w:p>
    <w:p>
      <w:pPr>
        <w:pStyle w:val="ListParagraph"/>
        <w:rPr>
          <w:rFonts w:ascii="Arial" w:hAnsi="Arial" w:cs="Arial"/>
          <w:bCs/>
          <w:iCs/>
          <w:sz w:val="18"/>
          <w:szCs w:val="18"/>
          <w:lang w:val="en-US" w:bidi="it-IT"/>
        </w:rPr>
      </w:pPr>
      <w:r>
        <w:rPr>
          <w:rFonts w:cs="Arial" w:ascii="Arial" w:hAnsi="Arial"/>
          <w:bCs/>
          <w:iCs/>
          <w:sz w:val="18"/>
          <w:szCs w:val="18"/>
          <w:lang w:val="en-US" w:bidi="it-IT"/>
        </w:rPr>
      </w:r>
    </w:p>
    <w:p>
      <w:pPr>
        <w:pStyle w:val="Normal"/>
        <w:widowControl w:val="false"/>
        <w:tabs>
          <w:tab w:val="left" w:pos="851" w:leader="none"/>
        </w:tabs>
        <w:spacing w:before="0" w:after="240"/>
        <w:rPr>
          <w:rFonts w:ascii="Arial" w:hAnsi="Arial" w:cs="Arial"/>
          <w:bCs/>
          <w:iCs/>
          <w:sz w:val="18"/>
          <w:szCs w:val="18"/>
          <w:lang w:val="en-US" w:bidi="it-IT"/>
        </w:rPr>
      </w:pPr>
      <w:r>
        <w:rPr>
          <w:rFonts w:cs="Arial" w:ascii="Arial" w:hAnsi="Arial"/>
          <w:bCs/>
          <w:iCs/>
          <w:sz w:val="18"/>
          <w:szCs w:val="18"/>
          <w:lang w:val="en-US" w:bidi="it-IT"/>
        </w:rPr>
        <w:t>3.4 Ineligibility</w:t>
      </w:r>
      <w:r>
        <w:rPr>
          <w:rFonts w:cs="Arial" w:ascii="Arial" w:hAnsi="Arial"/>
          <w:bCs/>
          <w:iCs/>
          <w:sz w:val="18"/>
          <w:szCs w:val="18"/>
          <w:u w:val="single"/>
          <w:lang w:val="en-US" w:bidi="it-IT"/>
        </w:rPr>
        <w:t xml:space="preserve"> </w:t>
      </w:r>
    </w:p>
    <w:p>
      <w:pPr>
        <w:pStyle w:val="ListParagraph"/>
        <w:widowControl w:val="false"/>
        <w:numPr>
          <w:ilvl w:val="0"/>
          <w:numId w:val="10"/>
        </w:numPr>
        <w:tabs>
          <w:tab w:val="left" w:pos="357" w:leader="none"/>
        </w:tabs>
        <w:jc w:val="both"/>
        <w:rPr>
          <w:rFonts w:ascii="Arial" w:hAnsi="Arial" w:cs="Arial"/>
          <w:sz w:val="18"/>
          <w:szCs w:val="18"/>
          <w:lang w:val="en-US" w:bidi="it-IT"/>
        </w:rPr>
      </w:pPr>
      <w:r>
        <w:rPr>
          <w:rFonts w:cs="Arial" w:ascii="Arial" w:hAnsi="Arial"/>
          <w:sz w:val="18"/>
          <w:szCs w:val="18"/>
          <w:lang w:val="en-US" w:bidi="it-IT"/>
        </w:rPr>
        <w:t>If, at any stage in the application procedure, it is established that the information provided by the applicant has been knowingly falsified, the candidate will be disqualified from the selection process.</w:t>
      </w:r>
    </w:p>
    <w:p>
      <w:pPr>
        <w:pStyle w:val="Normal"/>
        <w:widowControl w:val="false"/>
        <w:tabs>
          <w:tab w:val="left" w:pos="357" w:leader="none"/>
        </w:tabs>
        <w:ind w:left="360" w:hanging="0"/>
        <w:jc w:val="both"/>
        <w:rPr>
          <w:rFonts w:ascii="Arial" w:hAnsi="Arial" w:cs="Arial"/>
          <w:sz w:val="18"/>
          <w:szCs w:val="18"/>
          <w:lang w:val="en-US" w:bidi="it-IT"/>
        </w:rPr>
      </w:pPr>
      <w:r>
        <w:rPr>
          <w:rFonts w:cs="Arial" w:ascii="Arial" w:hAnsi="Arial"/>
          <w:sz w:val="18"/>
          <w:szCs w:val="18"/>
          <w:lang w:val="en-US" w:bidi="it-IT"/>
        </w:rPr>
      </w:r>
    </w:p>
    <w:p>
      <w:pPr>
        <w:pStyle w:val="ListParagraph"/>
        <w:widowControl w:val="false"/>
        <w:numPr>
          <w:ilvl w:val="0"/>
          <w:numId w:val="10"/>
        </w:numPr>
        <w:tabs>
          <w:tab w:val="left" w:pos="357" w:leader="none"/>
        </w:tabs>
        <w:jc w:val="both"/>
        <w:rPr/>
      </w:pPr>
      <w:r>
        <w:rPr>
          <w:rFonts w:cs="Arial" w:ascii="Arial" w:hAnsi="Arial"/>
          <w:sz w:val="18"/>
          <w:szCs w:val="18"/>
          <w:lang w:val="en-US" w:bidi="it-IT"/>
        </w:rPr>
        <w:t xml:space="preserve">Students who receive an Erasmus+ grant will fully or partially reimburse the EU grant if they do not comply with the terms of the grant agreement and/or if they fail to complete and submit the final online report, unless they are prevented from completing their planned activities abroad due to a case of force majeure. </w:t>
      </w:r>
    </w:p>
    <w:p>
      <w:pPr>
        <w:pStyle w:val="ListParagraph"/>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851" w:leader="none"/>
        </w:tabs>
        <w:spacing w:before="0" w:after="240"/>
        <w:rPr>
          <w:rFonts w:ascii="Arial" w:hAnsi="Arial" w:cs="Arial"/>
          <w:b/>
          <w:b/>
          <w:bCs/>
          <w:iCs/>
          <w:u w:val="single"/>
          <w:lang w:val="en-US" w:bidi="it-IT"/>
        </w:rPr>
      </w:pPr>
      <w:r>
        <w:rPr>
          <w:rFonts w:cs="Arial" w:ascii="Arial" w:hAnsi="Arial"/>
          <w:b/>
          <w:bCs/>
          <w:iCs/>
          <w:u w:val="single"/>
          <w:lang w:val="en-US" w:bidi="it-IT"/>
        </w:rPr>
        <w:t xml:space="preserve">Art. 4 Activities </w:t>
      </w:r>
    </w:p>
    <w:p>
      <w:pPr>
        <w:pStyle w:val="Normal"/>
        <w:widowControl w:val="false"/>
        <w:tabs>
          <w:tab w:val="left" w:pos="357" w:leader="none"/>
        </w:tabs>
        <w:jc w:val="both"/>
        <w:rPr>
          <w:rFonts w:ascii="Arial" w:hAnsi="Arial" w:cs="Arial"/>
          <w:b/>
          <w:b/>
          <w:sz w:val="18"/>
          <w:szCs w:val="18"/>
          <w:u w:val="none" w:color="FF0000"/>
          <w:lang w:val="en-US" w:bidi="it-IT"/>
        </w:rPr>
      </w:pPr>
      <w:r>
        <w:rPr>
          <w:rFonts w:cs="Arial" w:ascii="Arial" w:hAnsi="Arial"/>
          <w:b/>
          <w:sz w:val="18"/>
          <w:szCs w:val="18"/>
          <w:u w:val="none" w:color="FF0000"/>
          <w:lang w:val="en-US" w:bidi="it-IT"/>
        </w:rPr>
        <w:t xml:space="preserve">Mobility for studies: </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 xml:space="preserve">Erasmus+ grants for study are awarded for full time study activities, including thesis preparation, at first, second and third study cycles. The studies in which the beneficiaries are enrolled must be leading to a recognized degree or another recognized tertiary level qualification. </w:t>
      </w:r>
    </w:p>
    <w:p>
      <w:pPr>
        <w:pStyle w:val="ListParagraph"/>
        <w:widowControl w:val="false"/>
        <w:tabs>
          <w:tab w:val="left" w:pos="357" w:leader="none"/>
        </w:tabs>
        <w:ind w:left="360" w:hanging="0"/>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rFonts w:ascii="Arial" w:hAnsi="Arial" w:cs="Arial"/>
          <w:b/>
          <w:b/>
          <w:sz w:val="18"/>
          <w:szCs w:val="18"/>
          <w:u w:val="none" w:color="FF0000"/>
          <w:lang w:val="en-US" w:bidi="it-IT"/>
        </w:rPr>
      </w:pPr>
      <w:r>
        <w:rPr>
          <w:rFonts w:cs="Arial" w:ascii="Arial" w:hAnsi="Arial"/>
          <w:b/>
          <w:sz w:val="18"/>
          <w:szCs w:val="18"/>
          <w:u w:val="none" w:color="FF0000"/>
          <w:lang w:val="en-US" w:bidi="it-IT"/>
        </w:rPr>
        <w:t>Mobility for teaching and training:</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 xml:space="preserve">Erasmus+ grants for teaching are awarded to HEI teaching staff for a period of teaching in a partner host university. </w:t>
      </w:r>
      <w:r>
        <w:rPr>
          <w:rFonts w:cs="Arial" w:ascii="Arial" w:hAnsi="Arial"/>
          <w:sz w:val="18"/>
          <w:szCs w:val="18"/>
        </w:rPr>
        <w:t>Teaching assignments can come in various forms and take place as seminars, lectures and tutoring. Actual teaching in this context should require the teacher to be physically present with the students. Although email tutoring or any other forms of distance learning as well as preparation are highly encouraged, they do not count in the minimum number of 8 compulsory hours of teaching per week.</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 xml:space="preserve">Erasmus+ grants for training support the professional development of HEI teaching and non-teaching staff in the form of training events abroad (excluding conferences) and job shadowing/observation periods/training at a partner institution. </w:t>
      </w:r>
    </w:p>
    <w:p>
      <w:pPr>
        <w:pStyle w:val="ListParagraph"/>
        <w:widowControl w:val="false"/>
        <w:tabs>
          <w:tab w:val="left" w:pos="357" w:leader="none"/>
        </w:tabs>
        <w:ind w:left="360" w:hanging="0"/>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ListParagraph"/>
        <w:widowControl w:val="false"/>
        <w:tabs>
          <w:tab w:val="left" w:pos="357" w:leader="none"/>
        </w:tabs>
        <w:ind w:left="360" w:hanging="0"/>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rFonts w:ascii="Arial" w:hAnsi="Arial" w:cs="Arial"/>
          <w:sz w:val="18"/>
          <w:szCs w:val="18"/>
          <w:u w:val="single" w:color="FF0000"/>
          <w:lang w:val="en-US" w:bidi="it-IT"/>
        </w:rPr>
      </w:pPr>
      <w:r>
        <w:rPr>
          <w:rFonts w:cs="Arial" w:ascii="Arial" w:hAnsi="Arial"/>
          <w:b/>
          <w:bCs/>
          <w:iCs/>
          <w:u w:val="single"/>
          <w:lang w:val="en-US" w:bidi="it-IT"/>
        </w:rPr>
        <w:t>Art. 5 Grants</w:t>
      </w:r>
    </w:p>
    <w:p>
      <w:pPr>
        <w:pStyle w:val="ListParagraph"/>
        <w:widowControl w:val="false"/>
        <w:tabs>
          <w:tab w:val="left" w:pos="357" w:leader="none"/>
        </w:tabs>
        <w:ind w:left="360" w:hanging="0"/>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 xml:space="preserve">5.1 Grantees will receive a grant as a contribution to their costs for travel and individual support during their mobility. </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They are specified in the table below:</w:t>
      </w:r>
    </w:p>
    <w:p>
      <w:pPr>
        <w:pStyle w:val="Normal"/>
        <w:widowControl w:val="false"/>
        <w:tabs>
          <w:tab w:val="left" w:pos="0" w:leader="none"/>
        </w:tabs>
        <w:rPr>
          <w:rFonts w:ascii="Arial" w:hAnsi="Arial" w:cs="Arial"/>
          <w:sz w:val="18"/>
          <w:szCs w:val="18"/>
          <w:lang w:val="en-US" w:bidi="it-IT"/>
        </w:rPr>
      </w:pPr>
      <w:r>
        <w:rPr>
          <w:rFonts w:cs="Arial" w:ascii="Arial" w:hAnsi="Arial"/>
          <w:sz w:val="18"/>
          <w:szCs w:val="18"/>
          <w:lang w:val="en-US" w:bidi="it-IT"/>
        </w:rPr>
      </w:r>
    </w:p>
    <w:tbl>
      <w:tblPr>
        <w:tblW w:w="8468" w:type="dxa"/>
        <w:jc w:val="center"/>
        <w:tblInd w:w="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4a0" w:noVBand="1" w:noHBand="0" w:lastColumn="0" w:firstColumn="1" w:lastRow="0" w:firstRow="1"/>
      </w:tblPr>
      <w:tblGrid>
        <w:gridCol w:w="1941"/>
        <w:gridCol w:w="6526"/>
      </w:tblGrid>
      <w:tr>
        <w:trPr>
          <w:trHeight w:val="322" w:hRule="atLeast"/>
        </w:trPr>
        <w:tc>
          <w:tcPr>
            <w:tcW w:w="1941"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color="000000" w:fill="D9D9D9" w:val="clear"/>
            <w:tcMar>
              <w:left w:w="30" w:type="dxa"/>
            </w:tcMar>
            <w:vAlign w:val="center"/>
          </w:tcPr>
          <w:p>
            <w:pPr>
              <w:pStyle w:val="Normal"/>
              <w:jc w:val="center"/>
              <w:rPr>
                <w:rFonts w:ascii="Calibri" w:hAnsi="Calibri"/>
                <w:b/>
                <w:b/>
                <w:bCs/>
                <w:color w:val="000000"/>
                <w:sz w:val="16"/>
                <w:szCs w:val="16"/>
              </w:rPr>
            </w:pPr>
            <w:r>
              <w:rPr>
                <w:rFonts w:ascii="Calibri" w:hAnsi="Calibri"/>
                <w:b/>
                <w:bCs/>
                <w:color w:val="000000"/>
                <w:sz w:val="16"/>
                <w:szCs w:val="16"/>
              </w:rPr>
              <w:t>INDIVIDUAL GRANT</w:t>
            </w:r>
          </w:p>
        </w:tc>
        <w:tc>
          <w:tcPr>
            <w:tcW w:w="6526"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D9D9D9" w:val="clear"/>
            <w:vAlign w:val="center"/>
          </w:tcPr>
          <w:p>
            <w:pPr>
              <w:pStyle w:val="Normal"/>
              <w:jc w:val="center"/>
              <w:rPr>
                <w:rFonts w:ascii="Calibri" w:hAnsi="Calibri"/>
                <w:b/>
                <w:b/>
                <w:bCs/>
                <w:i/>
                <w:i/>
                <w:iCs/>
                <w:color w:val="000000"/>
                <w:sz w:val="16"/>
                <w:szCs w:val="16"/>
              </w:rPr>
            </w:pPr>
            <w:r>
              <w:rPr>
                <w:rFonts w:ascii="Calibri" w:hAnsi="Calibri"/>
                <w:b/>
                <w:bCs/>
                <w:color w:val="000000"/>
                <w:sz w:val="16"/>
                <w:szCs w:val="16"/>
              </w:rPr>
              <w:t>INDIVIDUAL SUPPORT</w:t>
            </w:r>
          </w:p>
        </w:tc>
      </w:tr>
      <w:tr>
        <w:trPr>
          <w:trHeight w:val="476" w:hRule="atLeast"/>
        </w:trPr>
        <w:tc>
          <w:tcPr>
            <w:tcW w:w="1941"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jc w:val="center"/>
              <w:rPr>
                <w:rFonts w:ascii="Calibri" w:hAnsi="Calibri"/>
                <w:b/>
                <w:b/>
                <w:bCs/>
                <w:color w:val="000000"/>
                <w:sz w:val="16"/>
                <w:szCs w:val="16"/>
              </w:rPr>
            </w:pPr>
            <w:r>
              <w:rPr>
                <w:rFonts w:ascii="Calibri" w:hAnsi="Calibri"/>
                <w:b/>
                <w:bCs/>
                <w:color w:val="000000"/>
                <w:sz w:val="16"/>
                <w:szCs w:val="16"/>
              </w:rPr>
              <w:t>Students</w:t>
            </w:r>
          </w:p>
        </w:tc>
        <w:tc>
          <w:tcPr>
            <w:tcW w:w="652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b/>
                <w:b/>
                <w:bCs/>
                <w:color w:val="000000"/>
                <w:sz w:val="16"/>
                <w:szCs w:val="16"/>
              </w:rPr>
            </w:pPr>
            <w:r>
              <w:rPr>
                <w:rFonts w:ascii="Calibri" w:hAnsi="Calibri"/>
                <w:b/>
                <w:bCs/>
                <w:color w:val="000000"/>
                <w:sz w:val="16"/>
                <w:szCs w:val="16"/>
              </w:rPr>
              <w:t>850€ per month</w:t>
            </w:r>
          </w:p>
        </w:tc>
      </w:tr>
      <w:tr>
        <w:trPr>
          <w:trHeight w:val="715" w:hRule="atLeast"/>
        </w:trPr>
        <w:tc>
          <w:tcPr>
            <w:tcW w:w="1941"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jc w:val="center"/>
              <w:rPr>
                <w:rFonts w:ascii="Calibri" w:hAnsi="Calibri"/>
                <w:b/>
                <w:b/>
                <w:bCs/>
                <w:color w:val="000000"/>
                <w:sz w:val="16"/>
                <w:szCs w:val="16"/>
              </w:rPr>
            </w:pPr>
            <w:r>
              <w:rPr>
                <w:rFonts w:ascii="Calibri" w:hAnsi="Calibri"/>
                <w:b/>
                <w:bCs/>
                <w:color w:val="000000"/>
                <w:sz w:val="16"/>
                <w:szCs w:val="16"/>
              </w:rPr>
              <w:t>Staff</w:t>
            </w:r>
          </w:p>
        </w:tc>
        <w:tc>
          <w:tcPr>
            <w:tcW w:w="652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Verdana" w:hAnsi="Verdana"/>
                <w:color w:val="000000"/>
                <w:sz w:val="16"/>
                <w:szCs w:val="16"/>
              </w:rPr>
            </w:pPr>
            <w:r>
              <w:rPr>
                <w:rFonts w:ascii="Calibri" w:hAnsi="Calibri"/>
                <w:b/>
                <w:bCs/>
                <w:color w:val="000000"/>
                <w:sz w:val="16"/>
                <w:szCs w:val="16"/>
              </w:rPr>
              <w:t xml:space="preserve">140€ per day </w:t>
            </w:r>
            <w:r>
              <w:rPr>
                <w:rFonts w:ascii="Calibri" w:hAnsi="Calibri"/>
                <w:color w:val="000000"/>
                <w:sz w:val="16"/>
                <w:szCs w:val="16"/>
              </w:rPr>
              <w:br/>
              <w:t>(until the 14th day. 70% from the 15th to the 60th day)</w:t>
            </w:r>
            <w:r>
              <w:rPr>
                <w:rFonts w:ascii="Verdana" w:hAnsi="Verdana"/>
                <w:color w:val="000000"/>
                <w:sz w:val="16"/>
                <w:szCs w:val="16"/>
              </w:rPr>
              <w:t xml:space="preserve"> )*</w:t>
            </w:r>
          </w:p>
          <w:p>
            <w:pPr>
              <w:pStyle w:val="Normal"/>
              <w:jc w:val="center"/>
              <w:rPr>
                <w:rFonts w:ascii="Calibri" w:hAnsi="Calibri" w:asciiTheme="minorHAnsi" w:hAnsiTheme="minorHAnsi"/>
                <w:color w:val="000000"/>
                <w:sz w:val="16"/>
                <w:szCs w:val="16"/>
              </w:rPr>
            </w:pPr>
            <w:r>
              <w:rPr>
                <w:rFonts w:asciiTheme="minorHAnsi" w:hAnsiTheme="minorHAnsi" w:ascii="Calibri" w:hAnsi="Calibri"/>
                <w:color w:val="000000"/>
                <w:sz w:val="16"/>
                <w:szCs w:val="16"/>
              </w:rPr>
            </w:r>
          </w:p>
          <w:p>
            <w:pPr>
              <w:pStyle w:val="Normal"/>
              <w:jc w:val="center"/>
              <w:rPr>
                <w:rFonts w:ascii="Calibri" w:hAnsi="Calibri" w:asciiTheme="minorHAnsi" w:hAnsiTheme="minorHAnsi"/>
                <w:color w:val="000000"/>
                <w:sz w:val="16"/>
                <w:szCs w:val="16"/>
              </w:rPr>
            </w:pPr>
            <w:r>
              <w:rPr>
                <w:rFonts w:cs="Arial" w:ascii="Verdana" w:hAnsi="Verdana"/>
                <w:color w:val="222222"/>
                <w:sz w:val="16"/>
                <w:szCs w:val="16"/>
                <w:shd w:fill="FFFFFF" w:val="clear"/>
              </w:rPr>
              <w:t>*</w:t>
            </w:r>
            <w:r>
              <w:rPr>
                <w:rFonts w:cs="Arial" w:ascii="Calibri" w:hAnsi="Calibri" w:asciiTheme="minorHAnsi" w:hAnsiTheme="minorHAnsi"/>
                <w:color w:val="222222"/>
                <w:sz w:val="16"/>
                <w:szCs w:val="16"/>
                <w:shd w:fill="FFFFFF" w:val="clear"/>
              </w:rPr>
              <w:t>Grants for staff are taxable - beneficiaries are allowed to pay taxes only once if they are coming from countries with national agreements with Italy, upon submitting an official declaration signed also by the National Tax Authority of the beneficiaries’ country of residence, stating that taxes are paid in the country of residence.</w:t>
            </w:r>
          </w:p>
        </w:tc>
      </w:tr>
      <w:tr>
        <w:trPr>
          <w:trHeight w:val="238" w:hRule="atLeast"/>
        </w:trPr>
        <w:tc>
          <w:tcPr>
            <w:tcW w:w="84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50" w:type="dxa"/>
            </w:tcMar>
            <w:vAlign w:val="bottom"/>
          </w:tcPr>
          <w:p>
            <w:pPr>
              <w:pStyle w:val="Normal"/>
              <w:jc w:val="center"/>
              <w:rPr>
                <w:rFonts w:ascii="Calibri" w:hAnsi="Calibri"/>
                <w:b/>
                <w:b/>
                <w:bCs/>
                <w:color w:val="000000"/>
                <w:sz w:val="16"/>
                <w:szCs w:val="16"/>
              </w:rPr>
            </w:pPr>
            <w:r>
              <w:rPr>
                <w:rFonts w:ascii="Calibri" w:hAnsi="Calibri"/>
                <w:b/>
                <w:bCs/>
                <w:color w:val="000000"/>
                <w:sz w:val="16"/>
                <w:szCs w:val="16"/>
              </w:rPr>
              <w:t>TRAVEL</w:t>
            </w:r>
          </w:p>
        </w:tc>
      </w:tr>
      <w:tr>
        <w:trPr>
          <w:trHeight w:val="1813" w:hRule="atLeast"/>
        </w:trPr>
        <w:tc>
          <w:tcPr>
            <w:tcW w:w="1941"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jc w:val="center"/>
              <w:rPr>
                <w:rFonts w:ascii="Calibri" w:hAnsi="Calibri"/>
                <w:b/>
                <w:b/>
                <w:bCs/>
                <w:sz w:val="16"/>
                <w:szCs w:val="16"/>
              </w:rPr>
            </w:pPr>
            <w:r>
              <w:rPr>
                <w:rFonts w:ascii="Calibri" w:hAnsi="Calibri"/>
                <w:b/>
                <w:bCs/>
                <w:sz w:val="16"/>
                <w:szCs w:val="16"/>
              </w:rPr>
              <w:t>Students</w:t>
              <w:br/>
              <w:t>&amp;</w:t>
              <w:br/>
              <w:t>Staff</w:t>
            </w:r>
          </w:p>
        </w:tc>
        <w:tc>
          <w:tcPr>
            <w:tcW w:w="652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asciiTheme="minorHAnsi" w:hAnsiTheme="minorHAnsi"/>
                <w:sz w:val="16"/>
                <w:szCs w:val="16"/>
              </w:rPr>
            </w:pPr>
            <w:r>
              <w:rPr>
                <w:rFonts w:asciiTheme="minorHAnsi" w:hAnsiTheme="minorHAnsi" w:ascii="Calibri" w:hAnsi="Calibri"/>
                <w:sz w:val="16"/>
                <w:szCs w:val="16"/>
              </w:rPr>
            </w:r>
          </w:p>
          <w:p>
            <w:pPr>
              <w:pStyle w:val="Normal"/>
              <w:jc w:val="center"/>
              <w:rPr>
                <w:rFonts w:ascii="Calibri" w:hAnsi="Calibri" w:asciiTheme="minorHAnsi" w:hAnsiTheme="minorHAnsi"/>
                <w:sz w:val="16"/>
                <w:szCs w:val="16"/>
              </w:rPr>
            </w:pPr>
            <w:r>
              <w:rPr>
                <w:rFonts w:ascii="Calibri" w:hAnsi="Calibri" w:asciiTheme="minorHAnsi" w:hAnsiTheme="minorHAnsi"/>
                <w:sz w:val="16"/>
                <w:szCs w:val="16"/>
              </w:rPr>
              <w:t xml:space="preserve">Travel costs will be covered by the project  </w:t>
            </w:r>
          </w:p>
          <w:p>
            <w:pPr>
              <w:pStyle w:val="Normal"/>
              <w:jc w:val="center"/>
              <w:rPr>
                <w:rFonts w:ascii="Calibri" w:hAnsi="Calibri"/>
                <w:sz w:val="16"/>
                <w:szCs w:val="16"/>
              </w:rPr>
            </w:pPr>
            <w:r>
              <w:rPr>
                <w:rFonts w:ascii="Calibri" w:hAnsi="Calibri" w:asciiTheme="minorHAnsi" w:hAnsiTheme="minorHAnsi"/>
                <w:sz w:val="16"/>
                <w:szCs w:val="16"/>
              </w:rPr>
              <w:t>(up to the amounts defined by the E+ programme on the basis of the distance bands. Changes will not covered)</w:t>
            </w:r>
          </w:p>
        </w:tc>
      </w:tr>
    </w:tbl>
    <w:p>
      <w:pPr>
        <w:pStyle w:val="Normal"/>
        <w:widowControl w:val="false"/>
        <w:tabs>
          <w:tab w:val="left" w:pos="0" w:leader="none"/>
        </w:tabs>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426"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 xml:space="preserve">5.2 Erasmus+ selected students will continue to pay fees to their sending university but will benefit from tuition waiver from their host university. </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 xml:space="preserve">5.3 The mobility period must be carried out continuously and it must not be split into different periods. </w:t>
      </w:r>
    </w:p>
    <w:p>
      <w:pPr>
        <w:pStyle w:val="Normal"/>
        <w:widowControl w:val="false"/>
        <w:tabs>
          <w:tab w:val="left" w:pos="357" w:leader="none"/>
        </w:tabs>
        <w:jc w:val="both"/>
        <w:rPr>
          <w:rFonts w:ascii="Arial" w:hAnsi="Arial" w:cs="Arial"/>
          <w:sz w:val="18"/>
          <w:szCs w:val="18"/>
          <w:highlight w:val="yellow"/>
          <w:u w:val="none" w:color="FF0000"/>
          <w:lang w:val="en-US" w:bidi="it-IT"/>
        </w:rPr>
      </w:pPr>
      <w:r>
        <w:rPr>
          <w:rFonts w:cs="Arial" w:ascii="Arial" w:hAnsi="Arial"/>
          <w:sz w:val="18"/>
          <w:szCs w:val="18"/>
          <w:highlight w:val="yellow"/>
          <w:u w:val="none" w:color="FF0000"/>
          <w:lang w:val="en-US" w:bidi="it-IT"/>
        </w:rPr>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5.4 Selected candidates accepting the scholarship will sign a scholarship contract listing their duties and responsibilities. They will be required to comply with the local admission requirements and registration procedures at the Host University.</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5.5 Special needs support</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Extra financial support may be available for beneficiaries with special needs. A person with special needs is a potential participant whose individual physical, mental or health-related situation is such that his/her participation in the project would not be possible without extra financial support. The contribution will be awarded to beneficiaries with special needs upon request by the Coordinating institution and approval from the Erasmus+ Italian National Agency.</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b/>
          <w:b/>
          <w:lang w:val="en-US" w:bidi="it-IT"/>
        </w:rPr>
      </w:pPr>
      <w:r>
        <w:rPr>
          <w:rFonts w:cs="Arial" w:ascii="Arial" w:hAnsi="Arial"/>
          <w:sz w:val="18"/>
          <w:szCs w:val="18"/>
          <w:lang w:val="en-US" w:bidi="it-IT"/>
        </w:rPr>
        <w:t xml:space="preserve">5.6 </w:t>
      </w:r>
      <w:r>
        <w:rPr>
          <w:rFonts w:cs="Arial" w:ascii="Arial" w:hAnsi="Arial"/>
          <w:b/>
          <w:lang w:val="en-US" w:bidi="it-IT"/>
        </w:rPr>
        <w:t>Incentives:</w:t>
      </w:r>
    </w:p>
    <w:p>
      <w:pPr>
        <w:pStyle w:val="Normal"/>
        <w:widowControl w:val="false"/>
        <w:tabs>
          <w:tab w:val="left" w:pos="357" w:leader="none"/>
        </w:tabs>
        <w:jc w:val="both"/>
        <w:rPr>
          <w:rFonts w:ascii="Arial" w:hAnsi="Arial" w:cs="Arial"/>
          <w:lang w:val="en-US" w:bidi="it-IT"/>
        </w:rPr>
      </w:pPr>
      <w:r>
        <w:rPr>
          <w:rFonts w:cs="Arial" w:ascii="Arial" w:hAnsi="Arial"/>
          <w:lang w:val="en-US" w:bidi="it-IT"/>
        </w:rPr>
        <w:t>Didactic incentives</w:t>
      </w:r>
    </w:p>
    <w:p>
      <w:pPr>
        <w:pStyle w:val="Normal"/>
        <w:widowControl w:val="false"/>
        <w:tabs>
          <w:tab w:val="left" w:pos="357" w:leader="none"/>
        </w:tabs>
        <w:jc w:val="both"/>
        <w:rPr>
          <w:rFonts w:ascii="Arial" w:hAnsi="Arial" w:cs="Arial"/>
          <w:b/>
          <w:b/>
          <w:lang w:val="en-US" w:bidi="it-IT"/>
        </w:rPr>
      </w:pPr>
      <w:r>
        <w:rPr>
          <w:rFonts w:cs="Arial" w:ascii="Arial" w:hAnsi="Arial"/>
          <w:b/>
          <w:lang w:val="en-US" w:bidi="it-IT"/>
        </w:rPr>
        <w:t>………</w:t>
      </w:r>
    </w:p>
    <w:p>
      <w:pPr>
        <w:pStyle w:val="Normal"/>
        <w:widowControl w:val="false"/>
        <w:tabs>
          <w:tab w:val="left" w:pos="357" w:leader="none"/>
        </w:tabs>
        <w:jc w:val="both"/>
        <w:rPr>
          <w:rFonts w:ascii="Arial" w:hAnsi="Arial" w:cs="Arial"/>
          <w:lang w:val="en-US" w:bidi="it-IT"/>
        </w:rPr>
      </w:pPr>
      <w:r>
        <w:rPr>
          <w:rFonts w:cs="Arial" w:ascii="Arial" w:hAnsi="Arial"/>
          <w:lang w:val="en-US" w:bidi="it-IT"/>
        </w:rPr>
        <w:t>Financial incentives</w:t>
      </w:r>
    </w:p>
    <w:p>
      <w:pPr>
        <w:pStyle w:val="Normal"/>
        <w:widowControl w:val="false"/>
        <w:tabs>
          <w:tab w:val="left" w:pos="357" w:leader="none"/>
        </w:tabs>
        <w:jc w:val="both"/>
        <w:rPr>
          <w:rFonts w:ascii="Arial" w:hAnsi="Arial" w:cs="Arial"/>
          <w:b/>
          <w:b/>
          <w:lang w:val="en-US" w:bidi="it-IT"/>
        </w:rPr>
      </w:pPr>
      <w:r>
        <w:rPr>
          <w:rFonts w:cs="Arial" w:ascii="Arial" w:hAnsi="Arial"/>
          <w:b/>
          <w:lang w:val="en-US" w:bidi="it-IT"/>
        </w:rPr>
        <w:t>…</w:t>
      </w:r>
      <w:r>
        <w:rPr>
          <w:rFonts w:cs="Arial" w:ascii="Arial" w:hAnsi="Arial"/>
          <w:b/>
          <w:lang w:val="en-US" w:bidi="it-IT"/>
        </w:rPr>
        <w:t>.</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851" w:leader="none"/>
        </w:tabs>
        <w:spacing w:before="0" w:after="240"/>
        <w:rPr>
          <w:rFonts w:ascii="Arial" w:hAnsi="Arial" w:cs="Arial"/>
          <w:b/>
          <w:b/>
          <w:bCs/>
          <w:iCs/>
          <w:u w:val="single"/>
          <w:lang w:val="en-US" w:bidi="it-IT"/>
        </w:rPr>
      </w:pPr>
      <w:r>
        <w:rPr>
          <w:rFonts w:cs="Arial" w:ascii="Arial" w:hAnsi="Arial"/>
          <w:b/>
          <w:bCs/>
          <w:iCs/>
          <w:u w:val="single"/>
          <w:lang w:val="en-US" w:bidi="it-IT"/>
        </w:rPr>
        <w:t>Art. 6 Admission procedure</w:t>
      </w:r>
    </w:p>
    <w:p>
      <w:pPr>
        <w:pStyle w:val="Normal"/>
        <w:widowControl w:val="false"/>
        <w:tabs>
          <w:tab w:val="left" w:pos="851" w:leader="none"/>
        </w:tabs>
        <w:rPr>
          <w:rFonts w:ascii="Arial" w:hAnsi="Arial" w:cs="Arial"/>
          <w:bCs/>
          <w:iCs/>
          <w:sz w:val="18"/>
          <w:szCs w:val="18"/>
          <w:lang w:val="en-US" w:bidi="it-IT"/>
        </w:rPr>
      </w:pPr>
      <w:r>
        <w:rPr>
          <w:rFonts w:cs="Arial" w:ascii="Arial" w:hAnsi="Arial"/>
          <w:bCs/>
          <w:iCs/>
          <w:sz w:val="18"/>
          <w:szCs w:val="18"/>
          <w:lang w:val="en-US" w:bidi="it-IT"/>
        </w:rPr>
        <w:t xml:space="preserve">6.1 Application </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ListParagraph"/>
        <w:widowControl w:val="false"/>
        <w:numPr>
          <w:ilvl w:val="0"/>
          <w:numId w:val="5"/>
        </w:numPr>
        <w:tabs>
          <w:tab w:val="left" w:pos="357" w:leader="none"/>
        </w:tabs>
        <w:jc w:val="both"/>
        <w:rPr/>
      </w:pPr>
      <w:r>
        <w:rPr>
          <w:rFonts w:cs="Arial" w:ascii="Arial" w:hAnsi="Arial"/>
          <w:sz w:val="18"/>
          <w:szCs w:val="18"/>
          <w:lang w:val="en-US" w:bidi="it-IT"/>
        </w:rPr>
        <w:t xml:space="preserve">Prospective applicants should submit their </w:t>
      </w:r>
      <w:r>
        <w:rPr>
          <w:rFonts w:cs="Arial" w:ascii="Arial" w:hAnsi="Arial"/>
          <w:b/>
          <w:sz w:val="18"/>
          <w:szCs w:val="18"/>
          <w:lang w:val="en-US" w:bidi="it-IT"/>
        </w:rPr>
        <w:t>application form</w:t>
      </w:r>
      <w:r>
        <w:rPr>
          <w:rFonts w:cs="Arial" w:ascii="Arial" w:hAnsi="Arial"/>
          <w:sz w:val="18"/>
          <w:szCs w:val="18"/>
          <w:lang w:val="en-US" w:bidi="it-IT"/>
        </w:rPr>
        <w:t xml:space="preserve"> and </w:t>
      </w:r>
      <w:r>
        <w:rPr>
          <w:rFonts w:cs="Arial" w:ascii="Arial" w:hAnsi="Arial"/>
          <w:b/>
          <w:sz w:val="18"/>
          <w:szCs w:val="18"/>
          <w:lang w:val="en-US" w:bidi="it-IT"/>
        </w:rPr>
        <w:t>required documents</w:t>
      </w:r>
      <w:r>
        <w:rPr>
          <w:rFonts w:cs="Arial" w:ascii="Arial" w:hAnsi="Arial"/>
          <w:sz w:val="18"/>
          <w:szCs w:val="18"/>
          <w:lang w:val="en-US" w:bidi="it-IT"/>
        </w:rPr>
        <w:t xml:space="preserve"> (6.2) via e-mail to the address: </w:t>
      </w:r>
      <w:hyperlink r:id="rId4">
        <w:r>
          <w:rPr>
            <w:rStyle w:val="InternetLink"/>
            <w:rFonts w:cs="Arial" w:ascii="Arial" w:hAnsi="Arial"/>
            <w:sz w:val="18"/>
            <w:szCs w:val="18"/>
            <w:lang w:val="en-US" w:bidi="it-IT"/>
          </w:rPr>
          <w:t>relacionesinternacionalesfilo@gmail.com</w:t>
        </w:r>
      </w:hyperlink>
      <w:r>
        <w:rPr>
          <w:rFonts w:cs="Arial" w:ascii="Arial" w:hAnsi="Arial"/>
          <w:color w:val="FF0000"/>
          <w:sz w:val="18"/>
          <w:szCs w:val="18"/>
          <w:lang w:val="en-US" w:bidi="it-IT"/>
        </w:rPr>
        <w:t xml:space="preserve"> </w:t>
      </w:r>
      <w:r>
        <w:rPr>
          <w:rFonts w:cs="Arial" w:ascii="Arial" w:hAnsi="Arial"/>
          <w:b/>
          <w:bCs/>
          <w:sz w:val="18"/>
          <w:szCs w:val="18"/>
          <w:u w:val="none" w:color="FF0000"/>
          <w:lang w:val="en-US" w:bidi="it-IT"/>
        </w:rPr>
        <w:t>from 27</w:t>
      </w:r>
      <w:r>
        <w:rPr>
          <w:rFonts w:cs="Arial" w:ascii="Arial" w:hAnsi="Arial"/>
          <w:b/>
          <w:bCs/>
          <w:sz w:val="18"/>
          <w:szCs w:val="18"/>
          <w:u w:val="none" w:color="FF0000"/>
          <w:vertAlign w:val="superscript"/>
          <w:lang w:val="en-US" w:bidi="it-IT"/>
        </w:rPr>
        <w:t>th</w:t>
      </w:r>
      <w:r>
        <w:rPr>
          <w:rFonts w:cs="Arial" w:ascii="Arial" w:hAnsi="Arial"/>
          <w:b/>
          <w:bCs/>
          <w:sz w:val="18"/>
          <w:szCs w:val="18"/>
          <w:u w:val="none" w:color="FF0000"/>
          <w:lang w:val="en-US" w:bidi="it-IT"/>
        </w:rPr>
        <w:t xml:space="preserve"> March to 20</w:t>
      </w:r>
      <w:r>
        <w:rPr>
          <w:rFonts w:cs="Arial" w:ascii="Arial" w:hAnsi="Arial"/>
          <w:b/>
          <w:bCs/>
          <w:sz w:val="18"/>
          <w:szCs w:val="18"/>
          <w:u w:val="none" w:color="FF0000"/>
          <w:vertAlign w:val="superscript"/>
          <w:lang w:val="en-US" w:bidi="it-IT"/>
        </w:rPr>
        <w:t>th</w:t>
      </w:r>
      <w:r>
        <w:rPr>
          <w:rFonts w:cs="Arial" w:ascii="Arial" w:hAnsi="Arial"/>
          <w:b/>
          <w:bCs/>
          <w:sz w:val="18"/>
          <w:szCs w:val="18"/>
          <w:u w:val="none" w:color="FF0000"/>
          <w:lang w:val="en-US" w:bidi="it-IT"/>
        </w:rPr>
        <w:t xml:space="preserve"> April</w:t>
      </w:r>
      <w:r>
        <w:rPr>
          <w:rFonts w:cs="Arial" w:ascii="Arial" w:hAnsi="Arial"/>
          <w:sz w:val="18"/>
          <w:szCs w:val="18"/>
          <w:u w:val="none" w:color="FF0000"/>
          <w:lang w:val="en-US" w:bidi="it-IT"/>
        </w:rPr>
        <w:t xml:space="preserve">. </w:t>
      </w:r>
      <w:r>
        <w:rPr>
          <w:rFonts w:cs="Arial" w:ascii="Arial" w:hAnsi="Arial"/>
          <w:bCs/>
          <w:sz w:val="18"/>
          <w:szCs w:val="18"/>
          <w:u w:val="none" w:color="FF0000"/>
          <w:lang w:val="en-US" w:bidi="it-IT"/>
        </w:rPr>
        <w:t>Any application received after the deadline will not be accepted</w:t>
      </w:r>
      <w:r>
        <w:rPr>
          <w:rFonts w:cs="Arial" w:ascii="Arial" w:hAnsi="Arial"/>
          <w:sz w:val="18"/>
          <w:szCs w:val="18"/>
          <w:u w:val="none" w:color="FF0000"/>
          <w:lang w:val="en-US" w:bidi="it-IT"/>
        </w:rPr>
        <w:t>;</w:t>
      </w:r>
    </w:p>
    <w:p>
      <w:pPr>
        <w:pStyle w:val="ListParagraph"/>
        <w:widowControl w:val="false"/>
        <w:numPr>
          <w:ilvl w:val="0"/>
          <w:numId w:val="5"/>
        </w:numPr>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A confirmation e-mail will be sent after the application has successfully been submitted;</w:t>
      </w:r>
    </w:p>
    <w:p>
      <w:pPr>
        <w:pStyle w:val="ListParagraph"/>
        <w:widowControl w:val="false"/>
        <w:numPr>
          <w:ilvl w:val="0"/>
          <w:numId w:val="5"/>
        </w:numPr>
        <w:tabs>
          <w:tab w:val="left" w:pos="357" w:leader="none"/>
        </w:tabs>
        <w:jc w:val="both"/>
        <w:rPr/>
      </w:pPr>
      <w:r>
        <w:rPr>
          <w:rFonts w:cs="Arial" w:ascii="Arial" w:hAnsi="Arial"/>
          <w:sz w:val="18"/>
          <w:szCs w:val="18"/>
          <w:u w:val="none" w:color="FF0000"/>
          <w:lang w:val="en-US" w:bidi="it-IT"/>
        </w:rPr>
        <w:t xml:space="preserve">The official language of the application is </w:t>
      </w:r>
      <w:r>
        <w:rPr>
          <w:rFonts w:cs="Arial" w:ascii="Arial" w:hAnsi="Arial"/>
          <w:i w:val="false"/>
          <w:iCs w:val="false"/>
          <w:color w:val="000000"/>
          <w:sz w:val="18"/>
          <w:szCs w:val="18"/>
          <w:u w:val="none" w:color="FF0000"/>
          <w:lang w:val="en-US" w:bidi="it-IT"/>
        </w:rPr>
        <w:t>English</w:t>
      </w:r>
      <w:r>
        <w:rPr>
          <w:rFonts w:cs="Arial" w:ascii="Arial" w:hAnsi="Arial"/>
          <w:i/>
          <w:sz w:val="18"/>
          <w:szCs w:val="18"/>
          <w:u w:val="none" w:color="FF0000"/>
          <w:lang w:val="en-US" w:bidi="it-IT"/>
        </w:rPr>
        <w:t>.</w:t>
      </w:r>
      <w:r>
        <w:rPr>
          <w:rFonts w:cs="Arial" w:ascii="Arial" w:hAnsi="Arial"/>
          <w:sz w:val="18"/>
          <w:szCs w:val="18"/>
          <w:u w:val="none" w:color="FF0000"/>
          <w:lang w:val="en-US" w:bidi="it-IT"/>
        </w:rPr>
        <w:t xml:space="preserve"> At the time of application diplomas, transcripts and other official documents may be submitted in original language but they must be accompanied by an English translation. At this stage non certified translations are accepted. </w:t>
      </w:r>
      <w:r>
        <w:rPr>
          <w:rFonts w:cs="Arial" w:ascii="Arial" w:hAnsi="Arial"/>
          <w:b/>
          <w:bCs/>
          <w:sz w:val="18"/>
          <w:szCs w:val="18"/>
          <w:u w:val="none" w:color="FF0000"/>
          <w:lang w:val="en-US" w:bidi="it-IT"/>
        </w:rPr>
        <w:t>In case you are selected you may have to provide certified translations of all relevant documents.</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0" w:leader="none"/>
        </w:tabs>
        <w:jc w:val="both"/>
        <w:rPr>
          <w:rFonts w:ascii="Arial" w:hAnsi="Arial" w:cs="Arial"/>
          <w:bCs/>
          <w:iCs/>
          <w:sz w:val="18"/>
          <w:szCs w:val="18"/>
          <w:u w:val="none" w:color="FF0000"/>
          <w:lang w:val="en-US" w:bidi="it-IT"/>
        </w:rPr>
      </w:pPr>
      <w:r>
        <w:rPr>
          <w:rFonts w:cs="Arial" w:ascii="Arial" w:hAnsi="Arial"/>
          <w:bCs/>
          <w:iCs/>
          <w:sz w:val="18"/>
          <w:szCs w:val="18"/>
          <w:lang w:val="en-US" w:bidi="it-IT"/>
        </w:rPr>
        <w:t xml:space="preserve">6.2 </w:t>
      </w:r>
      <w:r>
        <w:rPr>
          <w:rFonts w:cs="Arial" w:ascii="Arial" w:hAnsi="Arial"/>
          <w:bCs/>
          <w:iCs/>
          <w:sz w:val="18"/>
          <w:szCs w:val="18"/>
          <w:u w:val="none" w:color="FF0000"/>
          <w:lang w:val="en-US" w:bidi="it-IT"/>
        </w:rPr>
        <w:t>Required Documentation</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ListParagraph"/>
        <w:widowControl w:val="false"/>
        <w:numPr>
          <w:ilvl w:val="0"/>
          <w:numId w:val="2"/>
        </w:numPr>
        <w:tabs>
          <w:tab w:val="left" w:pos="357" w:leader="none"/>
        </w:tabs>
        <w:jc w:val="both"/>
        <w:rPr>
          <w:rFonts w:ascii="Arial" w:hAnsi="Arial" w:cs="Arial"/>
          <w:sz w:val="18"/>
          <w:szCs w:val="18"/>
          <w:u w:val="none" w:color="FF0000"/>
          <w:lang w:val="en-US" w:bidi="it-IT"/>
        </w:rPr>
      </w:pPr>
      <w:r>
        <w:rPr>
          <w:rFonts w:cs="Arial" w:ascii="Arial" w:hAnsi="Arial"/>
          <w:i w:val="false"/>
          <w:iCs w:val="false"/>
          <w:color w:val="000000"/>
          <w:sz w:val="18"/>
          <w:szCs w:val="18"/>
          <w:u w:val="none" w:color="FF0000"/>
          <w:lang w:val="en-US" w:bidi="it-IT"/>
        </w:rPr>
        <w:t>Staff candidates must provide the following documents:</w:t>
      </w:r>
    </w:p>
    <w:p>
      <w:pPr>
        <w:pStyle w:val="ListParagraph"/>
        <w:widowControl w:val="false"/>
        <w:tabs>
          <w:tab w:val="left" w:pos="357" w:leader="none"/>
        </w:tabs>
        <w:ind w:left="360" w:hanging="0"/>
        <w:jc w:val="both"/>
        <w:rPr>
          <w:rFonts w:ascii="Arial" w:hAnsi="Arial" w:cs="Arial"/>
          <w:i w:val="false"/>
          <w:i w:val="false"/>
          <w:iCs w:val="false"/>
          <w:color w:val="000000"/>
          <w:sz w:val="18"/>
          <w:szCs w:val="18"/>
          <w:u w:val="none" w:color="FF0000"/>
          <w:lang w:val="en-US" w:bidi="it-IT"/>
        </w:rPr>
      </w:pPr>
      <w:r>
        <w:rPr>
          <w:rFonts w:cs="Arial" w:ascii="Arial" w:hAnsi="Arial"/>
          <w:i w:val="false"/>
          <w:iCs w:val="false"/>
          <w:color w:val="000000"/>
          <w:sz w:val="18"/>
          <w:szCs w:val="18"/>
          <w:u w:val="none" w:color="FF0000"/>
          <w:lang w:val="en-US" w:bidi="it-IT"/>
        </w:rPr>
      </w:r>
    </w:p>
    <w:p>
      <w:pPr>
        <w:pStyle w:val="ListParagraph"/>
        <w:widowControl w:val="false"/>
        <w:numPr>
          <w:ilvl w:val="0"/>
          <w:numId w:val="1"/>
        </w:numPr>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Application form duly filled in and signed</w:t>
      </w:r>
    </w:p>
    <w:p>
      <w:pPr>
        <w:pStyle w:val="ListParagraph"/>
        <w:widowControl w:val="false"/>
        <w:numPr>
          <w:ilvl w:val="0"/>
          <w:numId w:val="1"/>
        </w:numPr>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Copy of a valid ID card or passport;</w:t>
      </w:r>
    </w:p>
    <w:p>
      <w:pPr>
        <w:pStyle w:val="ListParagraph"/>
        <w:widowControl w:val="false"/>
        <w:numPr>
          <w:ilvl w:val="0"/>
          <w:numId w:val="1"/>
        </w:numPr>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Copy of a residence document;</w:t>
      </w:r>
    </w:p>
    <w:p>
      <w:pPr>
        <w:pStyle w:val="ListParagraph"/>
        <w:widowControl w:val="false"/>
        <w:numPr>
          <w:ilvl w:val="0"/>
          <w:numId w:val="1"/>
        </w:numPr>
        <w:tabs>
          <w:tab w:val="left" w:pos="357" w:leader="none"/>
        </w:tabs>
        <w:jc w:val="both"/>
        <w:rPr/>
      </w:pPr>
      <w:r>
        <w:rPr>
          <w:rFonts w:cs="Arial" w:ascii="Arial" w:hAnsi="Arial"/>
          <w:sz w:val="18"/>
          <w:szCs w:val="18"/>
          <w:u w:val="none" w:color="FF0000"/>
          <w:lang w:val="en-US" w:bidi="it-IT"/>
        </w:rPr>
        <w:t xml:space="preserve">Copy of a proof of employment at the </w:t>
      </w:r>
      <w:r>
        <w:rPr>
          <w:rFonts w:cs="Arial" w:ascii="Arial" w:hAnsi="Arial"/>
          <w:b w:val="false"/>
          <w:bCs w:val="false"/>
          <w:sz w:val="18"/>
          <w:szCs w:val="18"/>
          <w:u w:val="none" w:color="FF0000"/>
          <w:lang w:val="en-US" w:bidi="it-IT"/>
        </w:rPr>
        <w:t>FFyL-UBA</w:t>
      </w:r>
      <w:r>
        <w:rPr>
          <w:rFonts w:cs="Arial" w:ascii="Arial" w:hAnsi="Arial"/>
          <w:sz w:val="18"/>
          <w:szCs w:val="18"/>
          <w:u w:val="none" w:color="FF0000"/>
          <w:lang w:val="en-US" w:bidi="it-IT"/>
        </w:rPr>
        <w:t xml:space="preserve"> (ex. certificate issued by the Home University stating he/she is Academic/Administrative staff employed at the University);</w:t>
      </w:r>
    </w:p>
    <w:p>
      <w:pPr>
        <w:pStyle w:val="ListParagraph"/>
        <w:widowControl w:val="false"/>
        <w:numPr>
          <w:ilvl w:val="0"/>
          <w:numId w:val="1"/>
        </w:numPr>
        <w:tabs>
          <w:tab w:val="left" w:pos="357" w:leader="none"/>
        </w:tabs>
        <w:jc w:val="both"/>
        <w:rPr>
          <w:rFonts w:ascii="Arial" w:hAnsi="Arial" w:cs="Arial"/>
          <w:i/>
          <w:i/>
          <w:sz w:val="18"/>
          <w:szCs w:val="18"/>
          <w:u w:val="none" w:color="FF0000"/>
          <w:lang w:val="en-US" w:bidi="it-IT"/>
        </w:rPr>
      </w:pPr>
      <w:r>
        <w:rPr>
          <w:rFonts w:cs="Arial" w:ascii="Arial" w:hAnsi="Arial"/>
          <w:sz w:val="18"/>
          <w:szCs w:val="18"/>
          <w:u w:val="none" w:color="FF0000"/>
          <w:lang w:val="en-US" w:bidi="it-IT"/>
        </w:rPr>
        <w:t>Mobility Programme signed by the applicant;</w:t>
      </w:r>
    </w:p>
    <w:p>
      <w:pPr>
        <w:pStyle w:val="ListParagraph"/>
        <w:widowControl w:val="false"/>
        <w:numPr>
          <w:ilvl w:val="0"/>
          <w:numId w:val="1"/>
        </w:numPr>
        <w:tabs>
          <w:tab w:val="left" w:pos="357" w:leader="none"/>
        </w:tabs>
        <w:jc w:val="both"/>
        <w:rPr/>
      </w:pPr>
      <w:r>
        <w:rPr>
          <w:rFonts w:cs="Arial" w:ascii="Arial" w:hAnsi="Arial"/>
          <w:b/>
          <w:sz w:val="18"/>
          <w:szCs w:val="18"/>
          <w:u w:val="none" w:color="FF0000"/>
          <w:lang w:val="en-US" w:bidi="it-IT"/>
        </w:rPr>
        <w:t xml:space="preserve">Letter of interest signed by the prospective academic supervisor or Head of Department (for academic staff) at Ca’ Foscari University of Venice or by the administrative supervisor (for administrative staff) stating the availability and willingness to collaborate with the applicant. In order to get this applicants MUST contact </w:t>
      </w:r>
      <w:hyperlink r:id="rId5">
        <w:r>
          <w:rPr>
            <w:rStyle w:val="EnlacedeInternet"/>
            <w:rFonts w:cs="Arial" w:ascii="Arial" w:hAnsi="Arial"/>
            <w:b/>
            <w:sz w:val="18"/>
            <w:szCs w:val="18"/>
            <w:u w:val="none" w:color="FF0000"/>
            <w:lang w:val="en-US" w:bidi="it-IT"/>
          </w:rPr>
          <w:t>international.cooperation@unive.it</w:t>
        </w:r>
      </w:hyperlink>
      <w:r>
        <w:rPr>
          <w:rFonts w:cs="Arial" w:ascii="Arial" w:hAnsi="Arial"/>
          <w:b/>
          <w:sz w:val="18"/>
          <w:szCs w:val="18"/>
          <w:u w:val="none" w:color="FF0000"/>
          <w:lang w:val="en-US" w:bidi="it-IT"/>
        </w:rPr>
        <w:t xml:space="preserve"> (providing a CV and a work plan);   </w:t>
      </w:r>
    </w:p>
    <w:p>
      <w:pPr>
        <w:pStyle w:val="ListParagraph"/>
        <w:widowControl w:val="false"/>
        <w:numPr>
          <w:ilvl w:val="0"/>
          <w:numId w:val="1"/>
        </w:numPr>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Curriculum Vitae (max. 2 pages) in English including extracurricular activities (courses, seminars, conferences, published researches etc.) and professional experience related to the fields of knowledge of the courses. Please use the European template on https://europass.cedefop.europa.eu/en/documents/curriculum-vitae/templates-instructions.iehtml;</w:t>
      </w:r>
    </w:p>
    <w:p>
      <w:pPr>
        <w:pStyle w:val="ListParagraph"/>
        <w:widowControl w:val="false"/>
        <w:numPr>
          <w:ilvl w:val="0"/>
          <w:numId w:val="1"/>
        </w:numPr>
        <w:tabs>
          <w:tab w:val="left" w:pos="357" w:leader="none"/>
        </w:tabs>
        <w:jc w:val="both"/>
        <w:rPr>
          <w:rFonts w:ascii="Arial" w:hAnsi="Arial" w:cs="Arial"/>
          <w:i/>
          <w:i/>
          <w:color w:val="FF0000"/>
          <w:sz w:val="18"/>
          <w:szCs w:val="18"/>
          <w:u w:val="none" w:color="FF0000"/>
          <w:lang w:val="en-US" w:bidi="it-IT"/>
        </w:rPr>
      </w:pPr>
      <w:r>
        <w:rPr>
          <w:rFonts w:cs="Arial" w:ascii="Arial" w:hAnsi="Arial"/>
          <w:i w:val="false"/>
          <w:iCs w:val="false"/>
          <w:color w:val="000000"/>
          <w:sz w:val="18"/>
          <w:szCs w:val="18"/>
          <w:u w:val="none" w:color="FF0000"/>
          <w:lang w:val="en-US" w:bidi="it-IT"/>
        </w:rPr>
        <w:t>One letter of recommendation (max. 1 page) written by academics, researchers and/or by professionals who have participated in the candidate’s academic or professional training, complete with their email and phone numbers, and the at least another referee‘s contact details.</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851" w:leader="none"/>
        </w:tabs>
        <w:spacing w:before="0" w:after="240"/>
        <w:rPr>
          <w:rFonts w:ascii="Arial" w:hAnsi="Arial" w:cs="Arial"/>
          <w:b/>
          <w:b/>
          <w:bCs/>
          <w:iCs/>
          <w:u w:val="single"/>
          <w:lang w:val="en-US" w:bidi="it-IT"/>
        </w:rPr>
      </w:pPr>
      <w:r>
        <w:rPr>
          <w:rFonts w:cs="Arial" w:ascii="Arial" w:hAnsi="Arial"/>
          <w:b/>
          <w:bCs/>
          <w:iCs/>
          <w:u w:val="single"/>
          <w:lang w:val="en-US" w:bidi="it-IT"/>
        </w:rPr>
        <w:t>Art. 7 Selection process</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7.1 The Selection process includes the following steps:</w:t>
      </w:r>
    </w:p>
    <w:p>
      <w:pPr>
        <w:pStyle w:val="ListParagraph"/>
        <w:widowControl w:val="false"/>
        <w:numPr>
          <w:ilvl w:val="0"/>
          <w:numId w:val="6"/>
        </w:numPr>
        <w:tabs>
          <w:tab w:val="left" w:pos="357" w:leader="none"/>
        </w:tabs>
        <w:jc w:val="both"/>
        <w:rPr/>
      </w:pPr>
      <w:r>
        <w:rPr>
          <w:rFonts w:cs="Arial" w:ascii="Arial" w:hAnsi="Arial"/>
          <w:sz w:val="18"/>
          <w:szCs w:val="18"/>
          <w:u w:val="none" w:color="FF0000"/>
          <w:lang w:val="en-US" w:bidi="it-IT"/>
        </w:rPr>
        <w:t xml:space="preserve">Eligibility check </w:t>
      </w:r>
      <w:r>
        <w:rPr>
          <w:rFonts w:cs="Arial" w:ascii="Arial" w:hAnsi="Arial"/>
          <w:b w:val="false"/>
          <w:bCs w:val="false"/>
          <w:color w:val="000000"/>
          <w:sz w:val="18"/>
          <w:szCs w:val="18"/>
          <w:u w:val="none" w:color="FF0000"/>
          <w:lang w:val="en-US" w:bidi="it-IT"/>
        </w:rPr>
        <w:t xml:space="preserve">by the </w:t>
      </w:r>
      <w:bookmarkStart w:id="0" w:name="__DdeLink__691_557094825"/>
      <w:r>
        <w:rPr>
          <w:rFonts w:cs="Arial" w:ascii="Arial" w:hAnsi="Arial"/>
          <w:b w:val="false"/>
          <w:bCs w:val="false"/>
          <w:color w:val="000000"/>
          <w:sz w:val="18"/>
          <w:szCs w:val="18"/>
          <w:u w:val="none" w:color="FF0000"/>
          <w:lang w:val="en-US" w:bidi="it-IT"/>
        </w:rPr>
        <w:t>FFyL-UBA</w:t>
      </w:r>
      <w:bookmarkEnd w:id="0"/>
      <w:r>
        <w:rPr>
          <w:rFonts w:cs="Arial" w:ascii="Arial" w:hAnsi="Arial"/>
          <w:b w:val="false"/>
          <w:bCs w:val="false"/>
          <w:color w:val="000000"/>
          <w:sz w:val="18"/>
          <w:szCs w:val="18"/>
          <w:u w:val="none" w:color="FF0000"/>
          <w:lang w:val="en-US" w:bidi="it-IT"/>
        </w:rPr>
        <w:t>.</w:t>
      </w:r>
    </w:p>
    <w:p>
      <w:pPr>
        <w:pStyle w:val="ListParagraph"/>
        <w:widowControl w:val="false"/>
        <w:numPr>
          <w:ilvl w:val="0"/>
          <w:numId w:val="6"/>
        </w:numPr>
        <w:tabs>
          <w:tab w:val="left" w:pos="357" w:leader="none"/>
        </w:tabs>
        <w:jc w:val="both"/>
        <w:rPr/>
      </w:pPr>
      <w:r>
        <w:rPr>
          <w:rFonts w:cs="Arial" w:ascii="Arial" w:hAnsi="Arial"/>
          <w:sz w:val="18"/>
          <w:szCs w:val="18"/>
          <w:u w:val="none" w:color="FF0000"/>
          <w:lang w:val="en-US" w:bidi="it-IT"/>
        </w:rPr>
        <w:t xml:space="preserve">2-step evaluation process (pre-evaluation </w:t>
      </w:r>
      <w:r>
        <w:rPr>
          <w:rFonts w:cs="Arial" w:ascii="Arial" w:hAnsi="Arial"/>
          <w:color w:val="000000"/>
          <w:sz w:val="18"/>
          <w:szCs w:val="18"/>
          <w:u w:val="none" w:color="FF0000"/>
          <w:lang w:val="en-US" w:bidi="it-IT"/>
        </w:rPr>
        <w:t>by the FfyL-UBA</w:t>
      </w:r>
      <w:r>
        <w:rPr>
          <w:rFonts w:cs="Arial" w:ascii="Arial" w:hAnsi="Arial"/>
          <w:color w:val="FF0000"/>
          <w:sz w:val="18"/>
          <w:szCs w:val="18"/>
          <w:u w:val="none" w:color="FF0000"/>
          <w:lang w:val="en-US" w:bidi="it-IT"/>
        </w:rPr>
        <w:t xml:space="preserve"> </w:t>
      </w:r>
      <w:r>
        <w:rPr>
          <w:rFonts w:cs="Arial" w:ascii="Arial" w:hAnsi="Arial"/>
          <w:color w:val="000000"/>
          <w:sz w:val="18"/>
          <w:szCs w:val="18"/>
          <w:u w:val="none" w:color="FF0000"/>
          <w:lang w:val="en-US" w:bidi="it-IT"/>
        </w:rPr>
        <w:t xml:space="preserve">Selection Committee </w:t>
      </w:r>
      <w:r>
        <w:rPr>
          <w:rFonts w:cs="Arial" w:ascii="Arial" w:hAnsi="Arial"/>
          <w:sz w:val="18"/>
          <w:szCs w:val="18"/>
          <w:u w:val="none" w:color="FF0000"/>
          <w:lang w:val="en-US" w:bidi="it-IT"/>
        </w:rPr>
        <w:t>and final evaluation by Ca’ Foscari University Selection Committee).</w:t>
      </w:r>
    </w:p>
    <w:p>
      <w:pPr>
        <w:pStyle w:val="ListParagraph"/>
        <w:widowControl w:val="false"/>
        <w:tabs>
          <w:tab w:val="left" w:pos="357" w:leader="none"/>
        </w:tabs>
        <w:ind w:left="1077" w:hanging="0"/>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pPr>
      <w:r>
        <w:rPr>
          <w:rFonts w:cs="Arial" w:ascii="Arial" w:hAnsi="Arial"/>
          <w:sz w:val="18"/>
          <w:szCs w:val="18"/>
          <w:u w:val="none" w:color="FF0000"/>
          <w:lang w:val="en-US" w:bidi="it-IT"/>
        </w:rPr>
        <w:t xml:space="preserve">The </w:t>
      </w:r>
      <w:r>
        <w:rPr>
          <w:rFonts w:cs="Arial" w:ascii="Arial" w:hAnsi="Arial"/>
          <w:b w:val="false"/>
          <w:bCs w:val="false"/>
          <w:color w:val="000000"/>
          <w:sz w:val="18"/>
          <w:szCs w:val="18"/>
          <w:u w:val="none" w:color="FF0000"/>
          <w:lang w:val="en-US" w:bidi="it-IT"/>
        </w:rPr>
        <w:t xml:space="preserve">FFyL-UBA </w:t>
      </w:r>
      <w:r>
        <w:rPr>
          <w:rFonts w:cs="Arial" w:ascii="Arial" w:hAnsi="Arial"/>
          <w:sz w:val="18"/>
          <w:szCs w:val="18"/>
          <w:u w:val="none" w:color="FF0000"/>
          <w:lang w:val="en-US" w:bidi="it-IT"/>
        </w:rPr>
        <w:t>will review the submitted applications and evaluate the technical components (eligibility requirements, full documentation, completeness and authenticity of documents attached) to identify the eligible candidates.</w:t>
      </w:r>
    </w:p>
    <w:p>
      <w:pPr>
        <w:pStyle w:val="Normal"/>
        <w:widowControl w:val="false"/>
        <w:tabs>
          <w:tab w:val="left" w:pos="357" w:leader="none"/>
        </w:tabs>
        <w:jc w:val="both"/>
        <w:rPr/>
      </w:pPr>
      <w:r>
        <w:rPr>
          <w:rFonts w:cs="Arial" w:ascii="Arial" w:hAnsi="Arial"/>
          <w:sz w:val="18"/>
          <w:szCs w:val="18"/>
          <w:u w:val="none" w:color="FF0000"/>
          <w:lang w:val="en-US" w:bidi="it-IT"/>
        </w:rPr>
        <w:t xml:space="preserve">Only valid and eligible applications will be pre-evaluated and ranked by the </w:t>
      </w:r>
      <w:r>
        <w:rPr>
          <w:rFonts w:cs="Arial" w:ascii="Arial" w:hAnsi="Arial"/>
          <w:b w:val="false"/>
          <w:bCs w:val="false"/>
          <w:color w:val="000000"/>
          <w:sz w:val="18"/>
          <w:szCs w:val="18"/>
          <w:u w:val="none" w:color="FF0000"/>
          <w:lang w:val="en-US" w:bidi="it-IT"/>
        </w:rPr>
        <w:t xml:space="preserve">FFyL-UBA </w:t>
      </w:r>
      <w:r>
        <w:rPr>
          <w:rFonts w:cs="Arial" w:ascii="Arial" w:hAnsi="Arial"/>
          <w:sz w:val="18"/>
          <w:szCs w:val="18"/>
          <w:u w:val="none" w:color="FF0000"/>
          <w:lang w:val="en-US" w:bidi="it-IT"/>
        </w:rPr>
        <w:t>Selection Committee and finally evaluated by the Coordinating University Selection Committee, according with the following criteria, which have been jointly agreed by the partner university and the coordinating university:</w:t>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7.2 In the framework of Erasmus+ regulations the first criterion for selecting students must be academic merit, but with equivalent academic level, preference should be assigned to students from less advantaged socio-economic backgrounds.</w:t>
      </w:r>
    </w:p>
    <w:p>
      <w:pPr>
        <w:pStyle w:val="Normal"/>
        <w:widowControl w:val="false"/>
        <w:tabs>
          <w:tab w:val="left" w:pos="357" w:leader="none"/>
        </w:tabs>
        <w:ind w:left="357" w:hanging="0"/>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t>7.3 The final selection decision will consider also cross-cutting evaluation criteria such as gender balance, equal opportunities and participation of disadvantaged groups (disabled students, economically disadvantaged students) providing a more equal and fair selection process.</w:t>
      </w:r>
    </w:p>
    <w:p>
      <w:pPr>
        <w:pStyle w:val="Normal"/>
        <w:widowControl w:val="false"/>
        <w:tabs>
          <w:tab w:val="left" w:pos="357" w:leader="none"/>
        </w:tabs>
        <w:jc w:val="both"/>
        <w:rPr>
          <w:rFonts w:ascii="Arial" w:hAnsi="Arial" w:cs="Arial"/>
          <w:i/>
          <w:i/>
          <w:sz w:val="18"/>
          <w:szCs w:val="18"/>
          <w:u w:val="none" w:color="FF0000"/>
          <w:lang w:val="en-US" w:bidi="it-IT"/>
        </w:rPr>
      </w:pPr>
      <w:r>
        <w:rPr>
          <w:rFonts w:cs="Arial" w:ascii="Arial" w:hAnsi="Arial"/>
          <w:i/>
          <w:sz w:val="18"/>
          <w:szCs w:val="18"/>
          <w:u w:val="none" w:color="FF0000"/>
          <w:lang w:val="en-US" w:bidi="it-IT"/>
        </w:rPr>
      </w:r>
    </w:p>
    <w:p>
      <w:pPr>
        <w:pStyle w:val="Normal"/>
        <w:widowControl w:val="false"/>
        <w:tabs>
          <w:tab w:val="left" w:pos="357" w:leader="none"/>
        </w:tabs>
        <w:jc w:val="both"/>
        <w:rPr>
          <w:i w:val="false"/>
          <w:i w:val="false"/>
          <w:iCs w:val="false"/>
          <w:color w:val="000000"/>
        </w:rPr>
      </w:pPr>
      <w:r>
        <w:rPr>
          <w:rFonts w:cs="Arial" w:ascii="Arial" w:hAnsi="Arial"/>
          <w:i w:val="false"/>
          <w:iCs w:val="false"/>
          <w:color w:val="000000"/>
          <w:sz w:val="18"/>
          <w:szCs w:val="18"/>
          <w:u w:val="none" w:color="FF0000"/>
          <w:lang w:val="en-US" w:bidi="it-IT"/>
        </w:rPr>
        <w:t xml:space="preserve">7.4 The </w:t>
      </w:r>
      <w:r>
        <w:rPr>
          <w:rFonts w:cs="Arial" w:ascii="Arial" w:hAnsi="Arial"/>
          <w:b w:val="false"/>
          <w:bCs w:val="false"/>
          <w:i w:val="false"/>
          <w:iCs w:val="false"/>
          <w:color w:val="000000"/>
          <w:sz w:val="18"/>
          <w:szCs w:val="18"/>
          <w:u w:val="none" w:color="FF0000"/>
          <w:lang w:val="en-US" w:bidi="it-IT"/>
        </w:rPr>
        <w:t xml:space="preserve">FFyL-UBA  </w:t>
      </w:r>
      <w:r>
        <w:rPr>
          <w:rFonts w:cs="Arial" w:ascii="Arial" w:hAnsi="Arial"/>
          <w:i w:val="false"/>
          <w:iCs w:val="false"/>
          <w:color w:val="000000"/>
          <w:sz w:val="18"/>
          <w:szCs w:val="18"/>
          <w:u w:val="none" w:color="FF0000"/>
          <w:lang w:val="en-US" w:bidi="it-IT"/>
        </w:rPr>
        <w:t xml:space="preserve">and/or the Coordinating University Selection Committee may decide to invite the candidates whose average score is above the threshold for an </w:t>
      </w:r>
      <w:r>
        <w:rPr>
          <w:rFonts w:cs="Arial" w:ascii="Arial" w:hAnsi="Arial"/>
          <w:bCs/>
          <w:i w:val="false"/>
          <w:iCs w:val="false"/>
          <w:color w:val="000000"/>
          <w:sz w:val="18"/>
          <w:szCs w:val="18"/>
          <w:u w:val="none" w:color="FF0000"/>
          <w:lang w:val="en-US" w:bidi="it-IT"/>
        </w:rPr>
        <w:t>interview</w:t>
      </w:r>
      <w:r>
        <w:rPr>
          <w:rFonts w:cs="Arial" w:ascii="Arial" w:hAnsi="Arial"/>
          <w:i w:val="false"/>
          <w:iCs w:val="false"/>
          <w:color w:val="000000"/>
          <w:sz w:val="18"/>
          <w:szCs w:val="18"/>
          <w:u w:val="none" w:color="FF0000"/>
          <w:lang w:val="en-US" w:bidi="it-IT"/>
        </w:rPr>
        <w:t xml:space="preserve">, either </w:t>
      </w:r>
      <w:r>
        <w:rPr>
          <w:rFonts w:cs="Arial" w:ascii="Arial" w:hAnsi="Arial"/>
          <w:bCs/>
          <w:i w:val="false"/>
          <w:iCs w:val="false"/>
          <w:color w:val="000000"/>
          <w:sz w:val="18"/>
          <w:szCs w:val="18"/>
          <w:u w:val="none" w:color="FF0000"/>
          <w:lang w:val="en-US" w:bidi="it-IT"/>
        </w:rPr>
        <w:t>face-to-face</w:t>
      </w:r>
      <w:r>
        <w:rPr>
          <w:rFonts w:cs="Arial" w:ascii="Arial" w:hAnsi="Arial"/>
          <w:i w:val="false"/>
          <w:iCs w:val="false"/>
          <w:color w:val="000000"/>
          <w:sz w:val="18"/>
          <w:szCs w:val="18"/>
          <w:u w:val="none" w:color="FF0000"/>
          <w:lang w:val="en-US" w:bidi="it-IT"/>
        </w:rPr>
        <w:t xml:space="preserve"> or via </w:t>
      </w:r>
      <w:r>
        <w:rPr>
          <w:rFonts w:cs="Arial" w:ascii="Arial" w:hAnsi="Arial"/>
          <w:bCs/>
          <w:i w:val="false"/>
          <w:iCs w:val="false"/>
          <w:color w:val="000000"/>
          <w:sz w:val="18"/>
          <w:szCs w:val="18"/>
          <w:u w:val="none" w:color="FF0000"/>
          <w:lang w:val="en-US" w:bidi="it-IT"/>
        </w:rPr>
        <w:t>Skype</w:t>
      </w:r>
      <w:r>
        <w:rPr>
          <w:rFonts w:cs="Arial" w:ascii="Arial" w:hAnsi="Arial"/>
          <w:i w:val="false"/>
          <w:iCs w:val="false"/>
          <w:color w:val="000000"/>
          <w:sz w:val="18"/>
          <w:szCs w:val="18"/>
          <w:u w:val="none" w:color="FF0000"/>
          <w:lang w:val="en-US" w:bidi="it-IT"/>
        </w:rPr>
        <w:t>.</w:t>
      </w:r>
    </w:p>
    <w:p>
      <w:pPr>
        <w:pStyle w:val="ListParagraph"/>
        <w:rPr>
          <w:rFonts w:ascii="Arial" w:hAnsi="Arial" w:cs="Arial"/>
          <w:color w:val="FF0000"/>
          <w:sz w:val="18"/>
          <w:szCs w:val="18"/>
          <w:u w:val="none" w:color="FF0000"/>
          <w:lang w:val="en-US" w:bidi="it-IT"/>
        </w:rPr>
      </w:pPr>
      <w:r>
        <w:rPr>
          <w:rFonts w:cs="Arial" w:ascii="Arial" w:hAnsi="Arial"/>
          <w:color w:val="FF0000"/>
          <w:sz w:val="18"/>
          <w:szCs w:val="18"/>
          <w:u w:val="none" w:color="FF0000"/>
          <w:lang w:val="en-US" w:bidi="it-IT"/>
        </w:rPr>
      </w:r>
    </w:p>
    <w:p>
      <w:pPr>
        <w:pStyle w:val="Normal"/>
        <w:widowControl w:val="false"/>
        <w:tabs>
          <w:tab w:val="left" w:pos="357" w:leader="none"/>
        </w:tabs>
        <w:jc w:val="both"/>
        <w:rPr/>
      </w:pPr>
      <w:r>
        <w:rPr>
          <w:rFonts w:cs="Arial" w:ascii="Arial" w:hAnsi="Arial"/>
          <w:sz w:val="18"/>
          <w:szCs w:val="18"/>
          <w:u w:val="none" w:color="FF0000"/>
          <w:lang w:val="en-US" w:bidi="it-IT"/>
        </w:rPr>
        <w:t xml:space="preserve">7.5 At the end of the selection procedure the </w:t>
      </w:r>
      <w:r>
        <w:rPr>
          <w:rFonts w:cs="Arial" w:ascii="Arial" w:hAnsi="Arial"/>
          <w:b w:val="false"/>
          <w:bCs w:val="false"/>
          <w:color w:val="000000"/>
          <w:sz w:val="18"/>
          <w:szCs w:val="18"/>
          <w:u w:val="none" w:color="FF0000"/>
          <w:lang w:val="en-US" w:bidi="it-IT"/>
        </w:rPr>
        <w:t xml:space="preserve">FFyL-UBA  </w:t>
      </w:r>
      <w:r>
        <w:rPr>
          <w:rFonts w:cs="Arial" w:ascii="Arial" w:hAnsi="Arial"/>
          <w:sz w:val="18"/>
          <w:szCs w:val="18"/>
          <w:u w:val="none" w:color="FF0000"/>
          <w:lang w:val="en-US" w:bidi="it-IT"/>
        </w:rPr>
        <w:t xml:space="preserve">Selection Committee will draft a ranking list of qualified candidates. A reserve list will also be defined and will include the names of eligible candidates whom may be awarded a grant in case of withdrawal/drop-out of selected students or if additional funding is available. </w:t>
      </w:r>
    </w:p>
    <w:p>
      <w:pPr>
        <w:pStyle w:val="ListParagraph"/>
        <w:widowControl w:val="false"/>
        <w:tabs>
          <w:tab w:val="left" w:pos="357" w:leader="none"/>
        </w:tabs>
        <w:ind w:left="360" w:hanging="0"/>
        <w:jc w:val="both"/>
        <w:rPr>
          <w:rFonts w:ascii="Arial" w:hAnsi="Arial" w:cs="Arial"/>
          <w:color w:val="FF0000"/>
          <w:sz w:val="18"/>
          <w:szCs w:val="18"/>
          <w:u w:val="none" w:color="FF0000"/>
          <w:lang w:val="en-US" w:bidi="it-IT"/>
        </w:rPr>
      </w:pPr>
      <w:r>
        <w:rPr>
          <w:rFonts w:cs="Arial" w:ascii="Arial" w:hAnsi="Arial"/>
          <w:color w:val="FF0000"/>
          <w:sz w:val="18"/>
          <w:szCs w:val="18"/>
          <w:u w:val="none" w:color="FF0000"/>
          <w:lang w:val="en-US" w:bidi="it-IT"/>
        </w:rPr>
      </w:r>
    </w:p>
    <w:p>
      <w:pPr>
        <w:pStyle w:val="Normal"/>
        <w:widowControl w:val="false"/>
        <w:tabs>
          <w:tab w:val="left" w:pos="0" w:leader="none"/>
        </w:tabs>
        <w:jc w:val="both"/>
        <w:rPr/>
      </w:pPr>
      <w:r>
        <w:rPr>
          <w:rFonts w:cs="Arial" w:ascii="Arial" w:hAnsi="Arial"/>
          <w:bCs/>
          <w:iCs/>
          <w:sz w:val="18"/>
          <w:szCs w:val="18"/>
          <w:u w:val="none" w:color="FF0000"/>
          <w:lang w:val="en-US" w:bidi="it-IT"/>
        </w:rPr>
        <w:t xml:space="preserve">7.6 </w:t>
      </w:r>
      <w:r>
        <w:rPr>
          <w:rFonts w:cs="Arial" w:ascii="Arial" w:hAnsi="Arial"/>
          <w:sz w:val="18"/>
          <w:szCs w:val="18"/>
          <w:u w:val="none" w:color="FF0000"/>
          <w:lang w:val="en-US" w:bidi="it-IT"/>
        </w:rPr>
        <w:t>All applicants will be informed by e-mail of the selection results</w:t>
      </w:r>
      <w:r>
        <w:rPr>
          <w:rFonts w:cs="Arial" w:ascii="Arial" w:hAnsi="Arial"/>
          <w:sz w:val="18"/>
          <w:szCs w:val="18"/>
          <w:lang w:val="en-US" w:bidi="it-IT"/>
        </w:rPr>
        <w:t xml:space="preserve"> as soon as the evaluation procedure has been concluded</w:t>
      </w:r>
      <w:r>
        <w:rPr>
          <w:rFonts w:cs="Arial" w:ascii="Arial" w:hAnsi="Arial"/>
          <w:sz w:val="18"/>
          <w:szCs w:val="18"/>
          <w:u w:val="none" w:color="FF0000"/>
          <w:lang w:val="en-US" w:bidi="it-IT"/>
        </w:rPr>
        <w:t xml:space="preserve">. The final list will be also published on the </w:t>
      </w:r>
      <w:r>
        <w:rPr>
          <w:rFonts w:cs="Arial" w:ascii="Arial" w:hAnsi="Arial"/>
          <w:b w:val="false"/>
          <w:bCs w:val="false"/>
          <w:color w:val="000000"/>
          <w:sz w:val="18"/>
          <w:szCs w:val="18"/>
          <w:u w:val="none" w:color="FF0000"/>
          <w:lang w:val="en-US" w:bidi="it-IT"/>
        </w:rPr>
        <w:t xml:space="preserve">FFyL-UBA  </w:t>
      </w:r>
      <w:r>
        <w:rPr>
          <w:rFonts w:cs="Arial" w:ascii="Arial" w:hAnsi="Arial"/>
          <w:sz w:val="18"/>
          <w:szCs w:val="18"/>
          <w:u w:val="none" w:color="FF0000"/>
          <w:lang w:val="en-US" w:bidi="it-IT"/>
        </w:rPr>
        <w:t xml:space="preserve">website for transparency reasons. </w:t>
      </w:r>
    </w:p>
    <w:p>
      <w:pPr>
        <w:pStyle w:val="Normal"/>
        <w:widowControl w:val="false"/>
        <w:tabs>
          <w:tab w:val="left" w:pos="0" w:leader="none"/>
        </w:tabs>
        <w:jc w:val="both"/>
        <w:rPr>
          <w:rFonts w:ascii="Arial" w:hAnsi="Arial" w:cs="Arial"/>
          <w:sz w:val="18"/>
          <w:szCs w:val="18"/>
          <w:u w:val="none" w:color="FF0000"/>
          <w:lang w:val="en-US" w:bidi="it-IT"/>
        </w:rPr>
      </w:pPr>
      <w:r>
        <w:rPr>
          <w:rFonts w:cs="Arial" w:ascii="Arial" w:hAnsi="Arial"/>
          <w:sz w:val="18"/>
          <w:szCs w:val="18"/>
          <w:u w:val="none" w:color="FF0000"/>
          <w:lang w:val="en-US" w:bidi="it-IT"/>
        </w:rPr>
      </w:r>
    </w:p>
    <w:p>
      <w:pPr>
        <w:pStyle w:val="Normal"/>
        <w:widowControl w:val="false"/>
        <w:tabs>
          <w:tab w:val="left" w:pos="357" w:leader="none"/>
        </w:tabs>
        <w:jc w:val="both"/>
        <w:rPr/>
      </w:pPr>
      <w:r>
        <w:rPr>
          <w:rFonts w:cs="Arial" w:ascii="Arial" w:hAnsi="Arial"/>
          <w:sz w:val="18"/>
          <w:szCs w:val="18"/>
          <w:u w:val="none" w:color="FF0000"/>
          <w:lang w:val="en-US" w:bidi="it-IT"/>
        </w:rPr>
        <w:t>7.7 Selected candidates will receive a scholarship offer and are required to accept or reject it in written</w:t>
      </w:r>
      <w:r>
        <w:rPr>
          <w:rFonts w:cs="Arial" w:ascii="Arial" w:hAnsi="Arial"/>
          <w:b/>
          <w:sz w:val="18"/>
          <w:szCs w:val="18"/>
          <w:u w:val="none" w:color="FF0000"/>
          <w:lang w:val="en-US" w:bidi="it-IT"/>
        </w:rPr>
        <w:t xml:space="preserve"> </w:t>
      </w:r>
      <w:r>
        <w:rPr>
          <w:rFonts w:cs="Arial" w:ascii="Arial" w:hAnsi="Arial"/>
          <w:b w:val="false"/>
          <w:bCs w:val="false"/>
          <w:i w:val="false"/>
          <w:iCs w:val="false"/>
          <w:color w:val="000000"/>
          <w:sz w:val="18"/>
          <w:szCs w:val="18"/>
          <w:u w:val="none" w:color="FF0000"/>
          <w:lang w:val="en-US" w:bidi="it-IT"/>
        </w:rPr>
        <w:t>within 6 days</w:t>
      </w:r>
      <w:r>
        <w:rPr>
          <w:rFonts w:cs="Arial" w:ascii="Arial" w:hAnsi="Arial"/>
          <w:i/>
          <w:sz w:val="18"/>
          <w:szCs w:val="18"/>
          <w:u w:val="none" w:color="FF0000"/>
          <w:lang w:val="en-US" w:bidi="it-IT"/>
        </w:rPr>
        <w:t>.</w:t>
      </w:r>
      <w:r>
        <w:rPr>
          <w:rFonts w:cs="Arial" w:ascii="Arial" w:hAnsi="Arial"/>
          <w:sz w:val="18"/>
          <w:szCs w:val="18"/>
          <w:u w:val="none" w:color="FF0000"/>
          <w:lang w:val="en-US" w:bidi="it-IT"/>
        </w:rPr>
        <w:t xml:space="preserve"> For every selected candidate not accepting the grant within the deadline, the </w:t>
      </w:r>
      <w:r>
        <w:rPr>
          <w:rFonts w:cs="Arial" w:ascii="Arial" w:hAnsi="Arial"/>
          <w:b w:val="false"/>
          <w:bCs w:val="false"/>
          <w:color w:val="000000"/>
          <w:sz w:val="18"/>
          <w:szCs w:val="18"/>
          <w:u w:val="none" w:color="FF0000"/>
          <w:lang w:val="en-US" w:bidi="it-IT"/>
        </w:rPr>
        <w:t>FfyL-UBA</w:t>
      </w:r>
      <w:r>
        <w:rPr>
          <w:rFonts w:cs="Arial" w:ascii="Arial" w:hAnsi="Arial"/>
          <w:b/>
          <w:bCs w:val="false"/>
          <w:color w:val="FF0000"/>
          <w:sz w:val="18"/>
          <w:szCs w:val="18"/>
          <w:u w:val="none" w:color="FF0000"/>
          <w:lang w:val="en-US" w:bidi="it-IT"/>
        </w:rPr>
        <w:t xml:space="preserve"> </w:t>
      </w:r>
      <w:r>
        <w:rPr>
          <w:rFonts w:cs="Arial" w:ascii="Arial" w:hAnsi="Arial"/>
          <w:sz w:val="18"/>
          <w:szCs w:val="18"/>
          <w:u w:val="none" w:color="FF0000"/>
          <w:lang w:val="en-US" w:bidi="it-IT"/>
        </w:rPr>
        <w:t>will nominate a candidate from the reserve list.</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0" w:leader="none"/>
        </w:tabs>
        <w:jc w:val="both"/>
        <w:rPr>
          <w:rFonts w:ascii="Arial" w:hAnsi="Arial" w:cs="Arial"/>
          <w:b/>
          <w:b/>
          <w:bCs/>
          <w:i/>
          <w:i/>
          <w:iCs/>
          <w:sz w:val="22"/>
          <w:szCs w:val="22"/>
          <w:u w:val="none" w:color="FF0000"/>
          <w:lang w:val="en-US" w:bidi="it-IT"/>
        </w:rPr>
      </w:pPr>
      <w:r>
        <w:rPr>
          <w:rFonts w:cs="Arial" w:ascii="Arial" w:hAnsi="Arial"/>
          <w:bCs/>
          <w:iCs/>
          <w:sz w:val="18"/>
          <w:szCs w:val="18"/>
          <w:u w:val="none" w:color="FF0000"/>
          <w:lang w:val="en-US" w:bidi="it-IT"/>
        </w:rPr>
        <w:t xml:space="preserve">7.8 Appeal Procedure </w:t>
      </w:r>
    </w:p>
    <w:p>
      <w:pPr>
        <w:pStyle w:val="ListParagraph"/>
        <w:widowControl w:val="false"/>
        <w:numPr>
          <w:ilvl w:val="0"/>
          <w:numId w:val="9"/>
        </w:numPr>
        <w:tabs>
          <w:tab w:val="left" w:pos="357" w:leader="none"/>
        </w:tabs>
        <w:jc w:val="both"/>
        <w:rPr/>
      </w:pPr>
      <w:r>
        <w:rPr>
          <w:rFonts w:cs="Arial" w:ascii="Arial" w:hAnsi="Arial"/>
          <w:b/>
          <w:sz w:val="18"/>
          <w:szCs w:val="18"/>
          <w:lang w:val="en-US" w:bidi="it-IT"/>
        </w:rPr>
        <w:t>Rejected applicants</w:t>
      </w:r>
      <w:r>
        <w:rPr>
          <w:rFonts w:cs="Arial" w:ascii="Arial" w:hAnsi="Arial"/>
          <w:sz w:val="18"/>
          <w:szCs w:val="18"/>
          <w:lang w:val="en-US" w:bidi="it-IT"/>
        </w:rPr>
        <w:t xml:space="preserve"> who feel that a mistake has been made in the process or that their application has not been fairly evaluated can file a complaint to the respective departments of both universities bonded by mutual agreements.</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ListParagraph"/>
        <w:widowControl w:val="false"/>
        <w:numPr>
          <w:ilvl w:val="0"/>
          <w:numId w:val="9"/>
        </w:numPr>
        <w:tabs>
          <w:tab w:val="left" w:pos="357" w:leader="none"/>
        </w:tabs>
        <w:jc w:val="both"/>
        <w:rPr>
          <w:rFonts w:ascii="Arial" w:hAnsi="Arial" w:cs="Arial"/>
          <w:sz w:val="18"/>
          <w:szCs w:val="18"/>
          <w:lang w:val="en-US" w:bidi="it-IT"/>
        </w:rPr>
      </w:pPr>
      <w:r>
        <w:rPr>
          <w:rFonts w:cs="Arial" w:ascii="Arial" w:hAnsi="Arial"/>
          <w:sz w:val="18"/>
          <w:szCs w:val="18"/>
          <w:lang w:val="en-US" w:bidi="it-IT"/>
        </w:rPr>
        <w:t>Complaints from applicants who have failed to satisfy all of the eligibility criteria (e.g. who have not produced the required documentation, or have applied for a scholarship but do not meet the requirements, etc.), or have failed to satisfy them within the established time frames, will not be taken into consideration.</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ListParagraph"/>
        <w:widowControl w:val="false"/>
        <w:numPr>
          <w:ilvl w:val="0"/>
          <w:numId w:val="9"/>
        </w:numPr>
        <w:tabs>
          <w:tab w:val="left" w:pos="357" w:leader="none"/>
        </w:tabs>
        <w:jc w:val="both"/>
        <w:rPr>
          <w:rFonts w:ascii="Arial" w:hAnsi="Arial" w:cs="Arial"/>
          <w:sz w:val="18"/>
          <w:szCs w:val="18"/>
          <w:lang w:val="en-US" w:bidi="it-IT"/>
        </w:rPr>
      </w:pPr>
      <w:r>
        <w:rPr>
          <w:rFonts w:cs="Arial" w:ascii="Arial" w:hAnsi="Arial"/>
          <w:sz w:val="18"/>
          <w:szCs w:val="18"/>
          <w:lang w:val="en-US" w:bidi="it-IT"/>
        </w:rPr>
        <w:t>The appeal procedure can only come into play if a candidate feels that the Selection Committees have not handled his/her own application in line with the principles and procedures described in the call. In other words, the appeal cannot concern the decision itself, but only an alleged error made in the process.</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851" w:leader="none"/>
        </w:tabs>
        <w:spacing w:before="0" w:after="240"/>
        <w:rPr>
          <w:rFonts w:ascii="Arial" w:hAnsi="Arial" w:cs="Arial"/>
          <w:b/>
          <w:b/>
          <w:bCs/>
          <w:iCs/>
          <w:u w:val="single"/>
          <w:lang w:val="en-US" w:bidi="it-IT"/>
        </w:rPr>
      </w:pPr>
      <w:r>
        <w:rPr>
          <w:rFonts w:cs="Arial" w:ascii="Arial" w:hAnsi="Arial"/>
          <w:b/>
          <w:bCs/>
          <w:iCs/>
          <w:u w:val="single"/>
          <w:lang w:val="en-US" w:bidi="it-IT"/>
        </w:rPr>
        <w:t>Art. 8 Data protection</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t>Information relating to individuals (personal data) is collected and used in accordance with Directive 95/46/EC of the European Parliament and of the Council of 24 October 1995 on "the protection of individuals with regard to the processing of personal data and on the free movement of such data".</w:t>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jc w:val="both"/>
        <w:rPr>
          <w:rFonts w:ascii="Arial" w:hAnsi="Arial" w:cs="Arial"/>
          <w:sz w:val="18"/>
          <w:szCs w:val="18"/>
          <w:lang w:val="en-US" w:bidi="it-IT"/>
        </w:rPr>
      </w:pPr>
      <w:r>
        <w:rPr>
          <w:rFonts w:cs="Arial" w:ascii="Arial" w:hAnsi="Arial"/>
          <w:sz w:val="18"/>
          <w:szCs w:val="18"/>
          <w:lang w:val="en-US" w:bidi="it-IT"/>
        </w:rPr>
      </w:r>
    </w:p>
    <w:p>
      <w:pPr>
        <w:pStyle w:val="Normal"/>
        <w:widowControl w:val="false"/>
        <w:tabs>
          <w:tab w:val="left" w:pos="357" w:leader="none"/>
        </w:tabs>
        <w:spacing w:before="60" w:after="60"/>
        <w:jc w:val="both"/>
        <w:rPr>
          <w:rFonts w:ascii="Arial" w:hAnsi="Arial" w:cs="Arial"/>
          <w:sz w:val="16"/>
          <w:szCs w:val="16"/>
          <w:lang w:val="en-US" w:bidi="it-IT"/>
        </w:rPr>
      </w:pPr>
      <w:r>
        <w:rPr>
          <w:rFonts w:cs="Arial" w:ascii="Arial" w:hAnsi="Arial"/>
          <w:sz w:val="16"/>
          <w:szCs w:val="16"/>
          <w:lang w:val="en-US" w:bidi="it-IT"/>
        </w:rPr>
      </w:r>
    </w:p>
    <w:p>
      <w:pPr>
        <w:pStyle w:val="Normal"/>
        <w:widowControl w:val="false"/>
        <w:tabs>
          <w:tab w:val="left" w:pos="851" w:leader="none"/>
        </w:tabs>
        <w:rPr/>
      </w:pPr>
      <w:r>
        <w:rPr/>
      </w:r>
    </w:p>
    <w:sectPr>
      <w:footerReference w:type="default" r:id="rId6"/>
      <w:type w:val="nextPage"/>
      <w:pgSz w:w="12240" w:h="15840"/>
      <w:pgMar w:left="1134" w:right="1134" w:header="0" w:top="1417"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Lucida Grande">
    <w:charset w:val="01"/>
    <w:family w:val="roman"/>
    <w:pitch w:val="variable"/>
  </w:font>
  <w:font w:name="Calibri">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8971946"/>
    </w:sdtPr>
    <w:sdtContent>
      <w:p>
        <w:pPr>
          <w:pStyle w:val="Footer"/>
          <w:jc w:val="right"/>
          <w:rPr/>
        </w:pPr>
        <w:r>
          <w:rPr/>
          <w:fldChar w:fldCharType="begin"/>
        </w:r>
        <w:r>
          <w:instrText> PAGE </w:instrText>
        </w:r>
        <w:r>
          <w:fldChar w:fldCharType="separate"/>
        </w:r>
        <w:r>
          <w:t>5</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lvl w:ilvl="0">
      <w:start w:val="1"/>
      <w:numFmt w:val="decimal"/>
      <w:lvlText w:val="%1."/>
      <w:lvlJc w:val="left"/>
      <w:pPr>
        <w:ind w:left="360" w:hanging="360"/>
      </w:pPr>
      <w:rPr>
        <w:sz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360" w:hanging="360"/>
      </w:pPr>
      <w:rPr>
        <w:rFonts w:ascii="Symbol" w:hAnsi="Symbol" w:cs="Symbol" w:hint="default"/>
        <w:sz w:val="18"/>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1077" w:hanging="360"/>
      </w:pPr>
      <w:rPr>
        <w:sz w:val="18"/>
        <w:color w:val="00000A"/>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lvl w:ilvl="0">
      <w:start w:val="1"/>
      <w:numFmt w:val="bullet"/>
      <w:lvlText w:val=""/>
      <w:lvlJc w:val="left"/>
      <w:pPr>
        <w:ind w:left="360" w:hanging="360"/>
      </w:pPr>
      <w:rPr>
        <w:rFonts w:ascii="Symbol" w:hAnsi="Symbol" w:cs="Symbol" w:hint="default"/>
        <w:sz w:val="18"/>
        <w:rFonts w:cs="Symbo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18"/>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ko-K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02da"/>
    <w:pPr>
      <w:widowControl/>
      <w:bidi w:val="0"/>
      <w:jc w:val="left"/>
    </w:pPr>
    <w:rPr>
      <w:rFonts w:ascii="Times New Roman" w:hAnsi="Times New Roman" w:eastAsia="Times New Roman" w:cs="Times New Roman"/>
      <w:color w:val="00000A"/>
      <w:sz w:val="24"/>
      <w:szCs w:val="24"/>
      <w:lang w:val="en-GB" w:eastAsia="it-IT" w:bidi="ar-SA"/>
    </w:rPr>
  </w:style>
  <w:style w:type="paragraph" w:styleId="Heading5">
    <w:name w:val="Heading 5"/>
    <w:basedOn w:val="Normal"/>
    <w:link w:val="Titolo5Carattere"/>
    <w:qFormat/>
    <w:rsid w:val="00695c48"/>
    <w:pPr>
      <w:keepNext/>
      <w:tabs>
        <w:tab w:val="left" w:pos="357" w:leader="none"/>
      </w:tabs>
      <w:spacing w:before="60" w:after="60"/>
      <w:jc w:val="both"/>
      <w:outlineLvl w:val="4"/>
    </w:pPr>
    <w:rPr>
      <w:rFonts w:ascii="Arial" w:hAnsi="Arial" w:cs="Arial"/>
      <w:b/>
      <w:i/>
      <w:iCs/>
      <w:sz w:val="20"/>
      <w:szCs w:val="18"/>
      <w:lang w:val="it-IT"/>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765e9c"/>
    <w:rPr/>
  </w:style>
  <w:style w:type="character" w:styleId="TestonotaapidipaginaCarattere" w:customStyle="1">
    <w:name w:val="Testo nota a piè di pagina Carattere"/>
    <w:basedOn w:val="DefaultParagraphFont"/>
    <w:link w:val="Testonotaapidipagina"/>
    <w:qFormat/>
    <w:rsid w:val="00f41cf1"/>
    <w:rPr>
      <w:lang w:val="fr-FR" w:eastAsia="it-IT"/>
    </w:rPr>
  </w:style>
  <w:style w:type="character" w:styleId="Footnotereference">
    <w:name w:val="footnote reference"/>
    <w:basedOn w:val="DefaultParagraphFont"/>
    <w:uiPriority w:val="99"/>
    <w:semiHidden/>
    <w:unhideWhenUsed/>
    <w:qFormat/>
    <w:rsid w:val="00f41cf1"/>
    <w:rPr>
      <w:vertAlign w:val="superscript"/>
    </w:rPr>
  </w:style>
  <w:style w:type="character" w:styleId="EnlacedeInternet">
    <w:name w:val="Enlace de Internet"/>
    <w:basedOn w:val="DefaultParagraphFont"/>
    <w:uiPriority w:val="99"/>
    <w:unhideWhenUsed/>
    <w:qFormat/>
    <w:rsid w:val="00f41cf1"/>
    <w:rPr>
      <w:color w:val="0000FF" w:themeColor="hyperlink"/>
      <w:u w:val="single"/>
    </w:rPr>
  </w:style>
  <w:style w:type="character" w:styleId="Annotationreference">
    <w:name w:val="annotation reference"/>
    <w:basedOn w:val="DefaultParagraphFont"/>
    <w:uiPriority w:val="99"/>
    <w:semiHidden/>
    <w:unhideWhenUsed/>
    <w:qFormat/>
    <w:rsid w:val="00393941"/>
    <w:rPr>
      <w:sz w:val="16"/>
      <w:szCs w:val="16"/>
    </w:rPr>
  </w:style>
  <w:style w:type="character" w:styleId="TestocommentoCarattere" w:customStyle="1">
    <w:name w:val="Testo commento Carattere"/>
    <w:basedOn w:val="DefaultParagraphFont"/>
    <w:link w:val="Testocommento"/>
    <w:uiPriority w:val="99"/>
    <w:qFormat/>
    <w:rsid w:val="00393941"/>
    <w:rPr>
      <w:lang w:val="fr-FR" w:eastAsia="it-IT"/>
    </w:rPr>
  </w:style>
  <w:style w:type="character" w:styleId="SoggettocommentoCarattere" w:customStyle="1">
    <w:name w:val="Soggetto commento Carattere"/>
    <w:basedOn w:val="TestocommentoCarattere"/>
    <w:link w:val="Soggettocommento"/>
    <w:uiPriority w:val="99"/>
    <w:semiHidden/>
    <w:qFormat/>
    <w:rsid w:val="00393941"/>
    <w:rPr>
      <w:b/>
      <w:bCs/>
      <w:lang w:val="fr-FR" w:eastAsia="it-IT"/>
    </w:rPr>
  </w:style>
  <w:style w:type="character" w:styleId="Titolo5Carattere" w:customStyle="1">
    <w:name w:val="Titolo 5 Carattere"/>
    <w:basedOn w:val="DefaultParagraphFont"/>
    <w:link w:val="Titolo5"/>
    <w:qFormat/>
    <w:rsid w:val="00695c48"/>
    <w:rPr>
      <w:rFonts w:ascii="Arial" w:hAnsi="Arial" w:cs="Arial"/>
      <w:b/>
      <w:i/>
      <w:iCs/>
      <w:szCs w:val="18"/>
      <w:lang w:eastAsia="it-IT"/>
    </w:rPr>
  </w:style>
  <w:style w:type="character" w:styleId="IntestazioneCarattere" w:customStyle="1">
    <w:name w:val="Intestazione Carattere"/>
    <w:basedOn w:val="DefaultParagraphFont"/>
    <w:link w:val="Intestazione"/>
    <w:uiPriority w:val="99"/>
    <w:semiHidden/>
    <w:qFormat/>
    <w:rsid w:val="00816174"/>
    <w:rPr>
      <w:sz w:val="24"/>
      <w:szCs w:val="24"/>
      <w:lang w:val="fr-FR" w:eastAsia="it-IT"/>
    </w:rPr>
  </w:style>
  <w:style w:type="character" w:styleId="PidipaginaCarattere" w:customStyle="1">
    <w:name w:val="Piè di pagina Carattere"/>
    <w:basedOn w:val="DefaultParagraphFont"/>
    <w:link w:val="Pidipagina"/>
    <w:uiPriority w:val="99"/>
    <w:qFormat/>
    <w:rsid w:val="00816174"/>
    <w:rPr>
      <w:sz w:val="24"/>
      <w:szCs w:val="24"/>
      <w:lang w:val="fr-FR" w:eastAsia="it-IT"/>
    </w:rPr>
  </w:style>
  <w:style w:type="character" w:styleId="Appleconvertedspace" w:customStyle="1">
    <w:name w:val="apple-converted-space"/>
    <w:basedOn w:val="DefaultParagraphFont"/>
    <w:qFormat/>
    <w:rsid w:val="00a41d0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Arial" w:hAnsi="Arial"/>
      <w:color w:val="00000A"/>
      <w:sz w:val="18"/>
    </w:rPr>
  </w:style>
  <w:style w:type="character" w:styleId="ListLabel26">
    <w:name w:val="ListLabel 26"/>
    <w:qFormat/>
    <w:rPr>
      <w:rFonts w:eastAsia="Times New Roman" w:cs="Arial"/>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val="false"/>
      <w:i w:val="false"/>
      <w:sz w:val="18"/>
    </w:rPr>
  </w:style>
  <w:style w:type="character" w:styleId="ListLabel37">
    <w:name w:val="ListLabel 37"/>
    <w:qFormat/>
    <w:rPr>
      <w:b w:val="false"/>
      <w:i w:val="false"/>
      <w:sz w:val="18"/>
    </w:rPr>
  </w:style>
  <w:style w:type="character" w:styleId="ListLabel38">
    <w:name w:val="ListLabel 38"/>
    <w:qFormat/>
    <w:rPr>
      <w:b w:val="false"/>
      <w:i w:val="false"/>
      <w:sz w:val="18"/>
    </w:rPr>
  </w:style>
  <w:style w:type="character" w:styleId="ListLabel39">
    <w:name w:val="ListLabel 39"/>
    <w:qFormat/>
    <w:rPr>
      <w:b w:val="false"/>
      <w:i w:val="false"/>
      <w:sz w:val="18"/>
    </w:rPr>
  </w:style>
  <w:style w:type="character" w:styleId="ListLabel40">
    <w:name w:val="ListLabel 40"/>
    <w:qFormat/>
    <w:rPr>
      <w:b w:val="false"/>
      <w:i w:val="false"/>
      <w:sz w:val="18"/>
    </w:rPr>
  </w:style>
  <w:style w:type="character" w:styleId="ListLabel41">
    <w:name w:val="ListLabel 41"/>
    <w:qFormat/>
    <w:rPr>
      <w:b w:val="false"/>
      <w:i w:val="false"/>
      <w:sz w:val="18"/>
    </w:rPr>
  </w:style>
  <w:style w:type="character" w:styleId="ListLabel42">
    <w:name w:val="ListLabel 42"/>
    <w:qFormat/>
    <w:rPr>
      <w:b w:val="false"/>
      <w:i w:val="false"/>
      <w:sz w:val="18"/>
    </w:rPr>
  </w:style>
  <w:style w:type="character" w:styleId="ListLabel43">
    <w:name w:val="ListLabel 43"/>
    <w:qFormat/>
    <w:rPr>
      <w:b w:val="false"/>
      <w:i w:val="false"/>
      <w:sz w:val="18"/>
    </w:rPr>
  </w:style>
  <w:style w:type="character" w:styleId="ListLabel44">
    <w:name w:val="ListLabel 44"/>
    <w:qFormat/>
    <w:rPr>
      <w:b w:val="false"/>
      <w:i w:val="false"/>
      <w:sz w:val="18"/>
    </w:rPr>
  </w:style>
  <w:style w:type="character" w:styleId="ListLabel45">
    <w:name w:val="ListLabel 45"/>
    <w:qFormat/>
    <w:rPr>
      <w:rFonts w:ascii="Arial" w:hAnsi="Arial"/>
      <w:color w:val="00000A"/>
      <w:sz w:val="18"/>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Arial" w:hAnsi="Arial" w:cs="Symbol"/>
      <w:sz w:val="1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olor w:val="00000A"/>
      <w:sz w:val="18"/>
    </w:rPr>
  </w:style>
  <w:style w:type="character" w:styleId="ListLabel65">
    <w:name w:val="ListLabel 65"/>
    <w:qFormat/>
    <w:rPr>
      <w:rFonts w:ascii="Arial" w:hAnsi="Arial" w:cs="Symbol"/>
      <w:sz w:val="18"/>
    </w:rPr>
  </w:style>
  <w:style w:type="character" w:styleId="ListLabel66">
    <w:name w:val="ListLabel 66"/>
    <w:qFormat/>
    <w:rPr>
      <w:rFonts w:ascii="Arial" w:hAnsi="Arial"/>
      <w:color w:val="00000A"/>
      <w:sz w:val="18"/>
    </w:rPr>
  </w:style>
  <w:style w:type="character" w:styleId="ListLabel67">
    <w:name w:val="ListLabel 67"/>
    <w:qFormat/>
    <w:rPr>
      <w:rFonts w:ascii="Arial" w:hAnsi="Arial" w:cs="Symbol"/>
      <w:sz w:val="18"/>
    </w:rPr>
  </w:style>
  <w:style w:type="character" w:styleId="ListLabel68">
    <w:name w:val="ListLabel 68"/>
    <w:qFormat/>
    <w:rPr>
      <w:rFonts w:ascii="Arial" w:hAnsi="Arial" w:cs="Symbol"/>
      <w:b/>
      <w:sz w:val="1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Arial" w:hAnsi="Arial" w:cs="Symbol"/>
      <w:sz w:val="18"/>
    </w:rPr>
  </w:style>
  <w:style w:type="character" w:styleId="ListLabel78">
    <w:name w:val="ListLabel 78"/>
    <w:qFormat/>
    <w:rPr>
      <w:rFonts w:ascii="Arial" w:hAnsi="Arial" w:cs="Symbol"/>
      <w:sz w:val="18"/>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InternetLink">
    <w:name w:val="Internet Link"/>
    <w:rPr>
      <w:color w:val="000080"/>
      <w:u w:val="single"/>
      <w:lang w:val="zxx" w:eastAsia="zxx" w:bidi="zxx"/>
    </w:rPr>
  </w:style>
  <w:style w:type="character" w:styleId="ListLabel87">
    <w:name w:val="ListLabel 87"/>
    <w:qFormat/>
    <w:rPr>
      <w:rFonts w:ascii="Arial" w:hAnsi="Arial" w:cs="Symbol"/>
      <w:sz w:val="18"/>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color w:val="00000A"/>
      <w:sz w:val="18"/>
    </w:rPr>
  </w:style>
  <w:style w:type="character" w:styleId="ListLabel97">
    <w:name w:val="ListLabel 97"/>
    <w:qFormat/>
    <w:rPr>
      <w:rFonts w:ascii="Arial" w:hAnsi="Arial" w:cs="Symbol"/>
      <w:sz w:val="18"/>
    </w:rPr>
  </w:style>
  <w:style w:type="character" w:styleId="ListLabel98">
    <w:name w:val="ListLabel 98"/>
    <w:qFormat/>
    <w:rPr>
      <w:color w:val="00000A"/>
      <w:sz w:val="18"/>
    </w:rPr>
  </w:style>
  <w:style w:type="character" w:styleId="ListLabel99">
    <w:name w:val="ListLabel 99"/>
    <w:qFormat/>
    <w:rPr>
      <w:rFonts w:ascii="Arial" w:hAnsi="Arial" w:cs="Symbol"/>
      <w:sz w:val="18"/>
    </w:rPr>
  </w:style>
  <w:style w:type="character" w:styleId="ListLabel100">
    <w:name w:val="ListLabel 100"/>
    <w:qFormat/>
    <w:rPr>
      <w:rFonts w:ascii="Arial" w:hAnsi="Arial" w:cs="Symbol"/>
      <w:b/>
      <w:sz w:val="18"/>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sz w:val="18"/>
    </w:rPr>
  </w:style>
  <w:style w:type="character" w:styleId="ListLabel110">
    <w:name w:val="ListLabel 110"/>
    <w:qFormat/>
    <w:rPr>
      <w:rFonts w:ascii="Arial" w:hAnsi="Arial" w:cs="Symbol"/>
      <w:sz w:val="18"/>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Arial" w:hAnsi="Arial" w:cs="Symbol"/>
      <w:sz w:val="18"/>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color w:val="00000A"/>
      <w:sz w:val="18"/>
    </w:rPr>
  </w:style>
  <w:style w:type="character" w:styleId="ListLabel129">
    <w:name w:val="ListLabel 129"/>
    <w:qFormat/>
    <w:rPr>
      <w:rFonts w:ascii="Arial" w:hAnsi="Arial" w:cs="Symbol"/>
      <w:sz w:val="18"/>
    </w:rPr>
  </w:style>
  <w:style w:type="character" w:styleId="ListLabel130">
    <w:name w:val="ListLabel 130"/>
    <w:qFormat/>
    <w:rPr>
      <w:color w:val="00000A"/>
      <w:sz w:val="18"/>
    </w:rPr>
  </w:style>
  <w:style w:type="character" w:styleId="ListLabel131">
    <w:name w:val="ListLabel 131"/>
    <w:qFormat/>
    <w:rPr>
      <w:rFonts w:ascii="Arial" w:hAnsi="Arial" w:cs="Symbol"/>
      <w:sz w:val="18"/>
    </w:rPr>
  </w:style>
  <w:style w:type="character" w:styleId="ListLabel132">
    <w:name w:val="ListLabel 132"/>
    <w:qFormat/>
    <w:rPr>
      <w:rFonts w:ascii="Arial" w:hAnsi="Arial" w:cs="Symbol"/>
      <w:b/>
      <w:sz w:val="18"/>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Arial" w:hAnsi="Arial" w:cs="Symbol"/>
      <w:sz w:val="18"/>
    </w:rPr>
  </w:style>
  <w:style w:type="character" w:styleId="ListLabel142">
    <w:name w:val="ListLabel 142"/>
    <w:qFormat/>
    <w:rPr>
      <w:rFonts w:ascii="Arial" w:hAnsi="Arial" w:cs="Symbol"/>
      <w:sz w:val="18"/>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paragraph" w:styleId="Heading">
    <w:name w:val="Heading"/>
    <w:basedOn w:val="Normal"/>
    <w:next w:val="TextBody"/>
    <w:qFormat/>
    <w:pPr>
      <w:keepNext/>
      <w:spacing w:before="240" w:after="120"/>
    </w:pPr>
    <w:rPr>
      <w:rFonts w:ascii="Liberation Sans" w:hAnsi="Liberation Sans" w:eastAsia="Droid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tulo">
    <w:name w:val="Título"/>
    <w:basedOn w:val="Normal"/>
    <w:qFormat/>
    <w:pPr>
      <w:keepNext/>
      <w:spacing w:before="240" w:after="120"/>
    </w:pPr>
    <w:rPr>
      <w:rFonts w:ascii="Liberation Sans" w:hAnsi="Liberation Sans" w:eastAsia="Droid Sans Fallback" w:cs="FreeSans"/>
      <w:sz w:val="28"/>
      <w:szCs w:val="28"/>
    </w:rPr>
  </w:style>
  <w:style w:type="paragraph" w:styleId="Ndice">
    <w:name w:val="Índice"/>
    <w:basedOn w:val="Normal"/>
    <w:qFormat/>
    <w:pPr>
      <w:suppressLineNumbers/>
    </w:pPr>
    <w:rPr>
      <w:rFonts w:cs="FreeSans"/>
    </w:rPr>
  </w:style>
  <w:style w:type="paragraph" w:styleId="BalloonText">
    <w:name w:val="Balloon Text"/>
    <w:basedOn w:val="Normal"/>
    <w:semiHidden/>
    <w:qFormat/>
    <w:rsid w:val="00f91cff"/>
    <w:pPr/>
    <w:rPr>
      <w:rFonts w:ascii="Lucida Grande" w:hAnsi="Lucida Grande"/>
      <w:sz w:val="18"/>
      <w:szCs w:val="18"/>
    </w:rPr>
  </w:style>
  <w:style w:type="paragraph" w:styleId="ListParagraph">
    <w:name w:val="List Paragraph"/>
    <w:basedOn w:val="Normal"/>
    <w:uiPriority w:val="34"/>
    <w:qFormat/>
    <w:rsid w:val="00765e9c"/>
    <w:pPr>
      <w:spacing w:before="0" w:after="0"/>
      <w:ind w:left="720" w:hanging="0"/>
      <w:contextualSpacing/>
    </w:pPr>
    <w:rPr/>
  </w:style>
  <w:style w:type="paragraph" w:styleId="Footnotetext">
    <w:name w:val="footnote text"/>
    <w:basedOn w:val="Normal"/>
    <w:link w:val="TestonotaapidipaginaCarattere"/>
    <w:unhideWhenUsed/>
    <w:qFormat/>
    <w:rsid w:val="00f41cf1"/>
    <w:pPr/>
    <w:rPr>
      <w:sz w:val="20"/>
      <w:szCs w:val="20"/>
    </w:rPr>
  </w:style>
  <w:style w:type="paragraph" w:styleId="Annotationtext">
    <w:name w:val="annotation text"/>
    <w:basedOn w:val="Normal"/>
    <w:link w:val="TestocommentoCarattere"/>
    <w:uiPriority w:val="99"/>
    <w:unhideWhenUsed/>
    <w:qFormat/>
    <w:rsid w:val="00393941"/>
    <w:pPr/>
    <w:rPr>
      <w:sz w:val="20"/>
      <w:szCs w:val="20"/>
    </w:rPr>
  </w:style>
  <w:style w:type="paragraph" w:styleId="Annotationsubject">
    <w:name w:val="annotation subject"/>
    <w:basedOn w:val="Annotationtext"/>
    <w:link w:val="SoggettocommentoCarattere"/>
    <w:uiPriority w:val="99"/>
    <w:semiHidden/>
    <w:unhideWhenUsed/>
    <w:qFormat/>
    <w:rsid w:val="00393941"/>
    <w:pPr/>
    <w:rPr>
      <w:b/>
      <w:bCs/>
    </w:rPr>
  </w:style>
  <w:style w:type="paragraph" w:styleId="Header">
    <w:name w:val="Header"/>
    <w:basedOn w:val="Normal"/>
    <w:link w:val="IntestazioneCarattere"/>
    <w:uiPriority w:val="99"/>
    <w:semiHidden/>
    <w:unhideWhenUsed/>
    <w:rsid w:val="00816174"/>
    <w:pPr>
      <w:tabs>
        <w:tab w:val="center" w:pos="4819" w:leader="none"/>
        <w:tab w:val="right" w:pos="9638" w:leader="none"/>
      </w:tabs>
    </w:pPr>
    <w:rPr/>
  </w:style>
  <w:style w:type="paragraph" w:styleId="Footer">
    <w:name w:val="Footer"/>
    <w:basedOn w:val="Normal"/>
    <w:link w:val="PidipaginaCarattere"/>
    <w:uiPriority w:val="99"/>
    <w:unhideWhenUsed/>
    <w:rsid w:val="00816174"/>
    <w:pPr>
      <w:tabs>
        <w:tab w:val="center" w:pos="4819" w:leader="none"/>
        <w:tab w:val="right" w:pos="9638" w:leader="none"/>
      </w:tabs>
    </w:pPr>
    <w:rPr/>
  </w:style>
  <w:style w:type="paragraph" w:styleId="Paragrafoelenco1" w:customStyle="1">
    <w:name w:val="Paragrafo elenco1"/>
    <w:basedOn w:val="Normal"/>
    <w:qFormat/>
    <w:rsid w:val="000a7cb0"/>
    <w:pPr>
      <w:widowControl w:val="false"/>
      <w:suppressAutoHyphens w:val="true"/>
      <w:spacing w:lineRule="atLeast" w:line="100"/>
      <w:ind w:left="720" w:hanging="0"/>
    </w:pPr>
    <w:rPr>
      <w:rFonts w:eastAsia="SimSun" w:cs="Mangal"/>
      <w:szCs w:val="21"/>
      <w:lang w:val="it-IT" w:eastAsia="hi-I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793a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relacionesinternacionalesfilo@gmail.com" TargetMode="External"/><Relationship Id="rId5" Type="http://schemas.openxmlformats.org/officeDocument/2006/relationships/hyperlink" Target="mailto:international.cooperation@unive.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51032-B856-4E79-941E-5F178EA1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C7D41F09</Template>
  <TotalTime>740</TotalTime>
  <Application>LibreOffice/5.2.1.2$Linux_x86 LibreOffice_project/31dd62db80d4e60af04904455ec9c9219178d620</Application>
  <Pages>5</Pages>
  <Words>1856</Words>
  <Characters>10482</Characters>
  <CharactersWithSpaces>12258</CharactersWithSpaces>
  <Paragraphs>95</Paragraphs>
  <Company>獫票楧栮捯洀鉭曮㞱Û뜰⠲쎔딁烊皭〼፥ᙼ䕸忤઱</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2015-09-08T08:23:00Z</dcterms:created>
  <dc:creator>乩歫椠䱡畳椀㸲㻸ꔿ㌋䬮ꍰ䞮誀圇짗꾬钒붤鏊꣊㥊揤鞁</dc:creator>
  <dc:description/>
  <dc:language>es-AR</dc:language>
  <cp:lastModifiedBy/>
  <cp:lastPrinted>2016-05-23T14:26:00Z</cp:lastPrinted>
  <dcterms:modified xsi:type="dcterms:W3CDTF">2017-03-28T18:56:19Z</dcterms:modified>
  <cp:revision>124</cp:revision>
  <dc:subject/>
  <dc:title>LOGO CA’ FOSCARI e PARTNER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獫票楧栮捯洀鉭曮㞱Û뜰⠲쎔딁烊皭〼፥ᙼ䕸忤઱</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